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BA" w:rsidRPr="00A4375E" w:rsidRDefault="009C4BBA" w:rsidP="009C4BBA">
      <w:pPr>
        <w:jc w:val="center"/>
        <w:rPr>
          <w:rFonts w:ascii="Times New Roman" w:hAnsi="Times New Roman" w:cs="Times New Roman"/>
          <w:b/>
          <w:sz w:val="20"/>
          <w:szCs w:val="20"/>
        </w:rPr>
      </w:pPr>
      <w:bookmarkStart w:id="0" w:name="_GoBack"/>
      <w:bookmarkEnd w:id="0"/>
      <w:r w:rsidRPr="00A4375E">
        <w:rPr>
          <w:rFonts w:ascii="Times New Roman" w:hAnsi="Times New Roman" w:cs="Times New Roman"/>
          <w:b/>
          <w:sz w:val="20"/>
          <w:szCs w:val="20"/>
        </w:rPr>
        <w:t>RESEARCH ARTICLE</w:t>
      </w:r>
    </w:p>
    <w:p w:rsidR="009C4BBA" w:rsidRPr="00BD7B22" w:rsidRDefault="009C4BBA" w:rsidP="00523D4B">
      <w:pPr>
        <w:spacing w:line="360" w:lineRule="auto"/>
        <w:jc w:val="center"/>
        <w:rPr>
          <w:rFonts w:ascii="Times New Roman" w:hAnsi="Times New Roman" w:cs="Times New Roman"/>
          <w:b/>
        </w:rPr>
      </w:pPr>
      <w:proofErr w:type="gramStart"/>
      <w:r w:rsidRPr="00BD7B22">
        <w:rPr>
          <w:rFonts w:ascii="Times New Roman" w:hAnsi="Times New Roman" w:cs="Times New Roman"/>
          <w:b/>
        </w:rPr>
        <w:t>BACTERIOLOGICAL PROFILE OF BURNS AMONG BURNS PATIENTS AT ORTHOPEDICS HOSPITAL ENUGU.</w:t>
      </w:r>
      <w:proofErr w:type="gramEnd"/>
    </w:p>
    <w:p w:rsidR="00523D4B" w:rsidRPr="00523D4B" w:rsidRDefault="00523D4B" w:rsidP="00523D4B">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vertAlign w:val="superscript"/>
        </w:rPr>
        <w:t>1</w:t>
      </w:r>
      <w:r w:rsidRPr="00523D4B">
        <w:rPr>
          <w:rFonts w:ascii="Times New Roman" w:hAnsi="Times New Roman" w:cs="Times New Roman"/>
          <w:sz w:val="24"/>
          <w:szCs w:val="24"/>
        </w:rPr>
        <w:t xml:space="preserve">Nwobodo, H.A and </w:t>
      </w:r>
      <w:r w:rsidRPr="00523D4B">
        <w:rPr>
          <w:rFonts w:ascii="Times New Roman" w:hAnsi="Times New Roman" w:cs="Times New Roman"/>
          <w:sz w:val="24"/>
          <w:szCs w:val="24"/>
          <w:vertAlign w:val="superscript"/>
        </w:rPr>
        <w:t>2</w:t>
      </w:r>
      <w:r w:rsidRPr="00523D4B">
        <w:rPr>
          <w:rFonts w:ascii="Times New Roman" w:hAnsi="Times New Roman" w:cs="Times New Roman"/>
          <w:sz w:val="24"/>
          <w:szCs w:val="24"/>
        </w:rPr>
        <w:t xml:space="preserve">Obiakor, </w:t>
      </w:r>
      <w:proofErr w:type="spellStart"/>
      <w:r w:rsidRPr="00523D4B">
        <w:rPr>
          <w:rFonts w:ascii="Times New Roman" w:hAnsi="Times New Roman" w:cs="Times New Roman"/>
          <w:sz w:val="24"/>
          <w:szCs w:val="24"/>
        </w:rPr>
        <w:t>Chinecherem</w:t>
      </w:r>
      <w:proofErr w:type="spellEnd"/>
      <w:r w:rsidRPr="00523D4B">
        <w:rPr>
          <w:rFonts w:ascii="Times New Roman" w:hAnsi="Times New Roman" w:cs="Times New Roman"/>
          <w:sz w:val="24"/>
          <w:szCs w:val="24"/>
        </w:rPr>
        <w:t xml:space="preserve"> Sandra</w:t>
      </w:r>
    </w:p>
    <w:p w:rsidR="00523D4B" w:rsidRPr="00523D4B" w:rsidRDefault="00523D4B" w:rsidP="00523D4B">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 Department of Medical Laboratory Science, </w:t>
      </w:r>
    </w:p>
    <w:p w:rsidR="00523D4B" w:rsidRPr="00523D4B" w:rsidRDefault="00523D4B" w:rsidP="00523D4B">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Faculty of Allied Health Sciences, </w:t>
      </w:r>
    </w:p>
    <w:p w:rsidR="00523D4B" w:rsidRPr="00523D4B" w:rsidRDefault="00523D4B" w:rsidP="00523D4B">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Enugu State University of Science and Technology </w:t>
      </w:r>
    </w:p>
    <w:p w:rsidR="00523D4B" w:rsidRPr="00523D4B" w:rsidRDefault="00523D4B" w:rsidP="00523D4B">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Corresponding Author Email: </w:t>
      </w:r>
      <w:hyperlink r:id="rId5" w:history="1">
        <w:r w:rsidR="00AA117C" w:rsidRPr="00911643">
          <w:rPr>
            <w:rStyle w:val="Hyperlink"/>
            <w:rFonts w:ascii="Times New Roman" w:hAnsi="Times New Roman" w:cs="Times New Roman"/>
            <w:sz w:val="24"/>
            <w:szCs w:val="24"/>
          </w:rPr>
          <w:t>sandyobiakor2@gmail.com</w:t>
        </w:r>
      </w:hyperlink>
    </w:p>
    <w:p w:rsidR="00523D4B" w:rsidRPr="00523D4B" w:rsidRDefault="00523D4B" w:rsidP="00523D4B">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Co Author’s Email: </w:t>
      </w:r>
      <w:r w:rsidRPr="00523D4B">
        <w:rPr>
          <w:rFonts w:ascii="Times New Roman" w:hAnsi="Times New Roman" w:cs="Times New Roman"/>
          <w:color w:val="0070C0"/>
          <w:sz w:val="24"/>
          <w:szCs w:val="24"/>
          <w:u w:val="single"/>
        </w:rPr>
        <w:t>humphreyafam@yahoo.com</w:t>
      </w:r>
    </w:p>
    <w:p w:rsidR="009C4BBA" w:rsidRPr="00A4375E" w:rsidRDefault="00255D17" w:rsidP="00523D4B">
      <w:pPr>
        <w:spacing w:after="0"/>
        <w:jc w:val="center"/>
        <w:rPr>
          <w:rFonts w:ascii="Times New Roman" w:hAnsi="Times New Roman" w:cs="Times New Roman"/>
          <w:i/>
          <w:color w:val="000000" w:themeColor="text1"/>
          <w:sz w:val="20"/>
          <w:szCs w:val="20"/>
        </w:rPr>
      </w:pPr>
      <w:r>
        <w:rPr>
          <w:rFonts w:ascii="Times New Roman" w:hAnsi="Times New Roman" w:cs="Times New Roman"/>
          <w:i/>
          <w:noProof/>
          <w:color w:val="000000" w:themeColor="text1"/>
          <w:sz w:val="20"/>
          <w:szCs w:val="20"/>
        </w:rPr>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12.85pt;margin-top:9.7pt;width:488.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D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"/>
        </w:pict>
      </w:r>
      <w:r>
        <w:rPr>
          <w:rFonts w:ascii="Times New Roman" w:hAnsi="Times New Roman" w:cs="Times New Roman"/>
          <w:i/>
          <w:noProof/>
          <w:color w:val="000000" w:themeColor="text1"/>
          <w:sz w:val="20"/>
          <w:szCs w:val="20"/>
        </w:rPr>
        <w:pict>
          <v:shape id="Straight Arrow Connector 18" o:spid="_x0000_s1029" type="#_x0000_t32" style="position:absolute;left:0;text-align:left;margin-left:-12.85pt;margin-top:8.85pt;width:488.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9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2eTJJvOpxFh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"/>
        </w:pict>
      </w:r>
    </w:p>
    <w:p w:rsidR="009C4BBA" w:rsidRPr="00A4375E" w:rsidRDefault="009C4BBA" w:rsidP="009C4BBA">
      <w:pPr>
        <w:spacing w:after="0" w:line="240" w:lineRule="auto"/>
        <w:jc w:val="center"/>
        <w:rPr>
          <w:rFonts w:ascii="Times New Roman" w:hAnsi="Times New Roman" w:cs="Times New Roman"/>
          <w:b/>
          <w:iCs/>
          <w:sz w:val="28"/>
          <w:szCs w:val="28"/>
        </w:rPr>
      </w:pPr>
      <w:r w:rsidRPr="00A4375E">
        <w:rPr>
          <w:rFonts w:ascii="Times New Roman" w:hAnsi="Times New Roman" w:cs="Times New Roman"/>
          <w:b/>
          <w:iCs/>
          <w:sz w:val="28"/>
          <w:szCs w:val="28"/>
        </w:rPr>
        <w:t>ABSTRACT</w:t>
      </w:r>
    </w:p>
    <w:p w:rsidR="00552068" w:rsidRPr="00BD7B22" w:rsidRDefault="00552068" w:rsidP="00552068">
      <w:pPr>
        <w:spacing w:line="240" w:lineRule="auto"/>
        <w:jc w:val="both"/>
        <w:rPr>
          <w:rFonts w:ascii="Times New Roman" w:hAnsi="Times New Roman" w:cs="Times New Roman"/>
        </w:rPr>
      </w:pPr>
      <w:r w:rsidRPr="00BD7B22">
        <w:rPr>
          <w:rFonts w:ascii="Times New Roman" w:hAnsi="Times New Roman" w:cs="Times New Roman"/>
        </w:rPr>
        <w:t xml:space="preserve">Burn injuries are a major global health concern, particularly in resource-limited settings like Nigeria, where they are complicated by bacterial infections and rising antimicrobial resistance. This study examines the bacteriological profile, antibiotic resistance, and prevalence of </w:t>
      </w:r>
      <w:r w:rsidR="00214C6B">
        <w:rPr>
          <w:rFonts w:ascii="Times New Roman" w:hAnsi="Times New Roman" w:cs="Times New Roman"/>
        </w:rPr>
        <w:t>micro-</w:t>
      </w:r>
      <w:r w:rsidRPr="00BD7B22">
        <w:rPr>
          <w:rFonts w:ascii="Times New Roman" w:hAnsi="Times New Roman" w:cs="Times New Roman"/>
        </w:rPr>
        <w:t xml:space="preserve">organisms </w:t>
      </w:r>
      <w:r w:rsidR="007C20DE">
        <w:rPr>
          <w:rFonts w:ascii="Times New Roman" w:hAnsi="Times New Roman" w:cs="Times New Roman"/>
        </w:rPr>
        <w:t>(MDROs) in burn wound patients</w:t>
      </w:r>
      <w:r w:rsidRPr="00BD7B22">
        <w:rPr>
          <w:rFonts w:ascii="Times New Roman" w:hAnsi="Times New Roman" w:cs="Times New Roman"/>
        </w:rPr>
        <w:t xml:space="preserve"> at </w:t>
      </w:r>
      <w:proofErr w:type="spellStart"/>
      <w:r w:rsidRPr="00BD7B22">
        <w:rPr>
          <w:rFonts w:ascii="Times New Roman" w:hAnsi="Times New Roman" w:cs="Times New Roman"/>
        </w:rPr>
        <w:t>Orthopaedics</w:t>
      </w:r>
      <w:proofErr w:type="spellEnd"/>
      <w:r w:rsidRPr="00BD7B22">
        <w:rPr>
          <w:rFonts w:ascii="Times New Roman" w:hAnsi="Times New Roman" w:cs="Times New Roman"/>
        </w:rPr>
        <w:t xml:space="preserve"> Hospital, Enugu, Nigeria. A cross-sectional study was </w:t>
      </w:r>
      <w:proofErr w:type="gramStart"/>
      <w:r w:rsidRPr="00BD7B22">
        <w:rPr>
          <w:rFonts w:ascii="Times New Roman" w:hAnsi="Times New Roman" w:cs="Times New Roman"/>
        </w:rPr>
        <w:t xml:space="preserve">conducted </w:t>
      </w:r>
      <w:r w:rsidR="00EB23EA">
        <w:rPr>
          <w:rFonts w:ascii="Times New Roman" w:hAnsi="Times New Roman" w:cs="Times New Roman"/>
        </w:rPr>
        <w:t xml:space="preserve"> between</w:t>
      </w:r>
      <w:proofErr w:type="gramEnd"/>
      <w:r w:rsidR="00EB23EA">
        <w:rPr>
          <w:rFonts w:ascii="Times New Roman" w:hAnsi="Times New Roman" w:cs="Times New Roman"/>
        </w:rPr>
        <w:t xml:space="preserve"> June-November </w:t>
      </w:r>
      <w:r w:rsidRPr="00BD7B22">
        <w:rPr>
          <w:rFonts w:ascii="Times New Roman" w:hAnsi="Times New Roman" w:cs="Times New Roman"/>
        </w:rPr>
        <w:t xml:space="preserve">involving 100 burn wound samples collected </w:t>
      </w:r>
      <w:r w:rsidR="007C20DE">
        <w:rPr>
          <w:rFonts w:ascii="Times New Roman" w:hAnsi="Times New Roman" w:cs="Times New Roman"/>
        </w:rPr>
        <w:t xml:space="preserve"> </w:t>
      </w:r>
      <w:r w:rsidRPr="00BD7B22">
        <w:rPr>
          <w:rFonts w:ascii="Times New Roman" w:hAnsi="Times New Roman" w:cs="Times New Roman"/>
        </w:rPr>
        <w:t>aseptically from patients. Samples were cultured using standard microbiological techniques to isolate bacterial pathogens, which were ident</w:t>
      </w:r>
      <w:r w:rsidR="00EB23EA">
        <w:rPr>
          <w:rFonts w:ascii="Times New Roman" w:hAnsi="Times New Roman" w:cs="Times New Roman"/>
        </w:rPr>
        <w:t>ified through biochemical tests</w:t>
      </w:r>
      <w:r w:rsidRPr="00BD7B22">
        <w:rPr>
          <w:rFonts w:ascii="Times New Roman" w:hAnsi="Times New Roman" w:cs="Times New Roman"/>
        </w:rPr>
        <w:t xml:space="preserve">. Data were </w:t>
      </w:r>
      <w:proofErr w:type="spellStart"/>
      <w:r w:rsidRPr="00BD7B22">
        <w:rPr>
          <w:rFonts w:ascii="Times New Roman" w:hAnsi="Times New Roman" w:cs="Times New Roman"/>
        </w:rPr>
        <w:t>analysed</w:t>
      </w:r>
      <w:proofErr w:type="spellEnd"/>
      <w:r w:rsidRPr="00BD7B22">
        <w:rPr>
          <w:rFonts w:ascii="Times New Roman" w:hAnsi="Times New Roman" w:cs="Times New Roman"/>
        </w:rPr>
        <w:t xml:space="preserve"> using descriptive statistics to determine bacterial prevalence and resistance patterns. The study found that 83% of burn wound samples exhibited bacterial growth, with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w:t>
      </w:r>
      <w:r w:rsidR="007B6DBA">
        <w:rPr>
          <w:rFonts w:ascii="Times New Roman" w:hAnsi="Times New Roman" w:cs="Times New Roman"/>
        </w:rPr>
        <w:t>4</w:t>
      </w:r>
      <w:r w:rsidR="00EB23EA">
        <w:rPr>
          <w:rFonts w:ascii="Times New Roman" w:hAnsi="Times New Roman" w:cs="Times New Roman"/>
        </w:rPr>
        <w:t>5</w:t>
      </w:r>
      <w:r w:rsidRPr="00BD7B22">
        <w:rPr>
          <w:rFonts w:ascii="Times New Roman" w:hAnsi="Times New Roman" w:cs="Times New Roman"/>
        </w:rPr>
        <w:t xml:space="preserve">(54.2%) as the most prevalent pathogen, followed by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w:t>
      </w:r>
      <w:r w:rsidR="00EB23EA">
        <w:rPr>
          <w:rFonts w:ascii="Times New Roman" w:hAnsi="Times New Roman" w:cs="Times New Roman"/>
        </w:rPr>
        <w:t>15</w:t>
      </w:r>
      <w:r w:rsidRPr="00BD7B22">
        <w:rPr>
          <w:rFonts w:ascii="Times New Roman" w:hAnsi="Times New Roman" w:cs="Times New Roman"/>
        </w:rPr>
        <w:t xml:space="preserve">(18.1%)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w:t>
      </w:r>
      <w:r w:rsidR="007B6DBA">
        <w:rPr>
          <w:rFonts w:ascii="Times New Roman" w:hAnsi="Times New Roman" w:cs="Times New Roman"/>
        </w:rPr>
        <w:t>11</w:t>
      </w:r>
      <w:r w:rsidRPr="00BD7B22">
        <w:rPr>
          <w:rFonts w:ascii="Times New Roman" w:hAnsi="Times New Roman" w:cs="Times New Roman"/>
        </w:rPr>
        <w:t xml:space="preserve">(13.3%). Other pathogens were less common. Antibiotic testing revealed high resistance, particularly to </w:t>
      </w:r>
      <w:proofErr w:type="spellStart"/>
      <w:proofErr w:type="gramStart"/>
      <w:r w:rsidRPr="00BD7B22">
        <w:rPr>
          <w:rFonts w:ascii="Times New Roman" w:hAnsi="Times New Roman" w:cs="Times New Roman"/>
        </w:rPr>
        <w:t>Pefloxacin</w:t>
      </w:r>
      <w:proofErr w:type="spellEnd"/>
      <w:r w:rsidR="00EB23EA">
        <w:rPr>
          <w:rFonts w:ascii="Times New Roman" w:hAnsi="Times New Roman" w:cs="Times New Roman"/>
        </w:rPr>
        <w:t xml:space="preserve"> </w:t>
      </w:r>
      <w:r w:rsidRPr="00BD7B22">
        <w:rPr>
          <w:rFonts w:ascii="Times New Roman" w:hAnsi="Times New Roman" w:cs="Times New Roman"/>
        </w:rPr>
        <w:t xml:space="preserve"> </w:t>
      </w:r>
      <w:r w:rsidR="00EB23EA">
        <w:rPr>
          <w:rFonts w:ascii="Times New Roman" w:hAnsi="Times New Roman" w:cs="Times New Roman"/>
        </w:rPr>
        <w:t>75</w:t>
      </w:r>
      <w:proofErr w:type="gramEnd"/>
      <w:r w:rsidRPr="00BD7B22">
        <w:rPr>
          <w:rFonts w:ascii="Times New Roman" w:hAnsi="Times New Roman" w:cs="Times New Roman"/>
        </w:rPr>
        <w:t xml:space="preserve">(95.2%), </w:t>
      </w:r>
      <w:proofErr w:type="spellStart"/>
      <w:r w:rsidRPr="00BD7B22">
        <w:rPr>
          <w:rFonts w:ascii="Times New Roman" w:hAnsi="Times New Roman" w:cs="Times New Roman"/>
        </w:rPr>
        <w:t>Ceftazidime</w:t>
      </w:r>
      <w:proofErr w:type="spellEnd"/>
      <w:r w:rsidRPr="00BD7B22">
        <w:rPr>
          <w:rFonts w:ascii="Times New Roman" w:hAnsi="Times New Roman" w:cs="Times New Roman"/>
        </w:rPr>
        <w:t xml:space="preserve"> </w:t>
      </w:r>
      <w:r w:rsidR="00EB23EA">
        <w:rPr>
          <w:rFonts w:ascii="Times New Roman" w:hAnsi="Times New Roman" w:cs="Times New Roman"/>
        </w:rPr>
        <w:t>74</w:t>
      </w:r>
      <w:r w:rsidRPr="00BD7B22">
        <w:rPr>
          <w:rFonts w:ascii="Times New Roman" w:hAnsi="Times New Roman" w:cs="Times New Roman"/>
        </w:rPr>
        <w:t xml:space="preserve">(89.2%), and </w:t>
      </w:r>
      <w:proofErr w:type="spellStart"/>
      <w:r w:rsidRPr="00BD7B22">
        <w:rPr>
          <w:rFonts w:ascii="Times New Roman" w:hAnsi="Times New Roman" w:cs="Times New Roman"/>
        </w:rPr>
        <w:t>Ceporex</w:t>
      </w:r>
      <w:proofErr w:type="spellEnd"/>
      <w:r w:rsidR="007B6DBA">
        <w:rPr>
          <w:rFonts w:ascii="Times New Roman" w:hAnsi="Times New Roman" w:cs="Times New Roman"/>
        </w:rPr>
        <w:t xml:space="preserve"> </w:t>
      </w:r>
      <w:r w:rsidR="007C20DE">
        <w:rPr>
          <w:rFonts w:ascii="Times New Roman" w:hAnsi="Times New Roman" w:cs="Times New Roman"/>
        </w:rPr>
        <w:t>73</w:t>
      </w:r>
      <w:r w:rsidRPr="00BD7B22">
        <w:rPr>
          <w:rFonts w:ascii="Times New Roman" w:hAnsi="Times New Roman" w:cs="Times New Roman"/>
        </w:rPr>
        <w:t xml:space="preserve"> (88.0%), while Streptomycin </w:t>
      </w:r>
      <w:r w:rsidR="00EB23EA">
        <w:rPr>
          <w:rFonts w:ascii="Times New Roman" w:hAnsi="Times New Roman" w:cs="Times New Roman"/>
        </w:rPr>
        <w:t>59</w:t>
      </w:r>
      <w:r w:rsidRPr="00BD7B22">
        <w:rPr>
          <w:rFonts w:ascii="Times New Roman" w:hAnsi="Times New Roman" w:cs="Times New Roman"/>
        </w:rPr>
        <w:t xml:space="preserve">(71.1%) and </w:t>
      </w:r>
      <w:proofErr w:type="spellStart"/>
      <w:r w:rsidRPr="00BD7B22">
        <w:rPr>
          <w:rFonts w:ascii="Times New Roman" w:hAnsi="Times New Roman" w:cs="Times New Roman"/>
        </w:rPr>
        <w:t>Gentamycin</w:t>
      </w:r>
      <w:proofErr w:type="spellEnd"/>
      <w:r w:rsidR="00EB23EA">
        <w:rPr>
          <w:rFonts w:ascii="Times New Roman" w:hAnsi="Times New Roman" w:cs="Times New Roman"/>
        </w:rPr>
        <w:t xml:space="preserve"> 48</w:t>
      </w:r>
      <w:r w:rsidRPr="00BD7B22">
        <w:rPr>
          <w:rFonts w:ascii="Times New Roman" w:hAnsi="Times New Roman" w:cs="Times New Roman"/>
        </w:rPr>
        <w:t xml:space="preserve"> (57.8%) showed better efficacy. Furthermore, 67.5% of bacterial isolates were multidrug-resistant, with </w:t>
      </w:r>
      <w:proofErr w:type="spellStart"/>
      <w:r w:rsidRPr="00DE512F">
        <w:rPr>
          <w:rFonts w:ascii="Times New Roman" w:hAnsi="Times New Roman" w:cs="Times New Roman"/>
          <w:i/>
        </w:rPr>
        <w:t>Klebsiella</w:t>
      </w:r>
      <w:proofErr w:type="spellEnd"/>
      <w:r w:rsidRPr="00DE512F">
        <w:rPr>
          <w:rFonts w:ascii="Times New Roman" w:hAnsi="Times New Roman" w:cs="Times New Roman"/>
          <w:i/>
        </w:rPr>
        <w:t xml:space="preserve"> </w:t>
      </w:r>
      <w:proofErr w:type="spellStart"/>
      <w:r w:rsidRPr="00DE512F">
        <w:rPr>
          <w:rFonts w:ascii="Times New Roman" w:hAnsi="Times New Roman" w:cs="Times New Roman"/>
          <w:i/>
        </w:rPr>
        <w:t>pneumoniae</w:t>
      </w:r>
      <w:proofErr w:type="spellEnd"/>
      <w:r w:rsidRPr="00BD7B22">
        <w:rPr>
          <w:rFonts w:ascii="Times New Roman" w:hAnsi="Times New Roman" w:cs="Times New Roman"/>
        </w:rPr>
        <w:t xml:space="preserve">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exhibiting the highest resistance rates. These findings align with studies across Nigeria and sub-Saharan Africa, where </w:t>
      </w:r>
      <w:r w:rsidRPr="00DE512F">
        <w:rPr>
          <w:rFonts w:ascii="Times New Roman" w:hAnsi="Times New Roman" w:cs="Times New Roman"/>
          <w:i/>
        </w:rPr>
        <w:t xml:space="preserve">Staphylococcus </w:t>
      </w:r>
      <w:proofErr w:type="spellStart"/>
      <w:r w:rsidRPr="00DE512F">
        <w:rPr>
          <w:rFonts w:ascii="Times New Roman" w:hAnsi="Times New Roman" w:cs="Times New Roman"/>
          <w:i/>
        </w:rPr>
        <w:t>aureus</w:t>
      </w:r>
      <w:proofErr w:type="spellEnd"/>
      <w:r w:rsidRPr="00BD7B22">
        <w:rPr>
          <w:rFonts w:ascii="Times New Roman" w:hAnsi="Times New Roman" w:cs="Times New Roman"/>
        </w:rPr>
        <w:t xml:space="preserve">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are common in burn infections and multidrug resistance is a growing challenge. The study underscores the need for stronger infection control measures, antimicrobial stewardship</w:t>
      </w:r>
      <w:r w:rsidR="00E1401A">
        <w:rPr>
          <w:rFonts w:ascii="Times New Roman" w:hAnsi="Times New Roman" w:cs="Times New Roman"/>
        </w:rPr>
        <w:t>, targeted antibiotic therapies.</w:t>
      </w:r>
      <w:r w:rsidRPr="00BD7B22">
        <w:rPr>
          <w:rFonts w:ascii="Times New Roman" w:hAnsi="Times New Roman" w:cs="Times New Roman"/>
        </w:rPr>
        <w:t xml:space="preserve"> </w:t>
      </w:r>
    </w:p>
    <w:p w:rsidR="00552068" w:rsidRPr="00BD7B22" w:rsidRDefault="00552068" w:rsidP="00DA1A23">
      <w:pPr>
        <w:spacing w:after="0" w:line="360" w:lineRule="auto"/>
        <w:jc w:val="both"/>
        <w:rPr>
          <w:rFonts w:ascii="Times New Roman" w:hAnsi="Times New Roman" w:cs="Times New Roman"/>
          <w:b/>
          <w:bCs/>
        </w:rPr>
      </w:pPr>
      <w:r w:rsidRPr="00BD7B22">
        <w:rPr>
          <w:rFonts w:ascii="Times New Roman" w:hAnsi="Times New Roman" w:cs="Times New Roman"/>
          <w:b/>
          <w:bCs/>
        </w:rPr>
        <w:t xml:space="preserve">Keywords: Burn wound infections, </w:t>
      </w:r>
      <w:r w:rsidRPr="00DE512F">
        <w:rPr>
          <w:rFonts w:ascii="Times New Roman" w:hAnsi="Times New Roman" w:cs="Times New Roman"/>
          <w:b/>
          <w:bCs/>
          <w:i/>
        </w:rPr>
        <w:t xml:space="preserve">Staphylococcus </w:t>
      </w:r>
      <w:proofErr w:type="spellStart"/>
      <w:r w:rsidRPr="00DE512F">
        <w:rPr>
          <w:rFonts w:ascii="Times New Roman" w:hAnsi="Times New Roman" w:cs="Times New Roman"/>
          <w:b/>
          <w:bCs/>
          <w:i/>
        </w:rPr>
        <w:t>aureus</w:t>
      </w:r>
      <w:proofErr w:type="spellEnd"/>
      <w:r w:rsidRPr="00DE512F">
        <w:rPr>
          <w:rFonts w:ascii="Times New Roman" w:hAnsi="Times New Roman" w:cs="Times New Roman"/>
          <w:b/>
          <w:bCs/>
          <w:i/>
        </w:rPr>
        <w:t xml:space="preserve">, </w:t>
      </w:r>
      <w:r w:rsidRPr="00BD7B22">
        <w:rPr>
          <w:rFonts w:ascii="Times New Roman" w:hAnsi="Times New Roman" w:cs="Times New Roman"/>
          <w:b/>
          <w:bCs/>
        </w:rPr>
        <w:t>Multidrug resistance, Antibiotic resistance, Infection control, Burn care, Nigeria</w:t>
      </w:r>
    </w:p>
    <w:p w:rsidR="009C4BBA" w:rsidRPr="00A4375E" w:rsidRDefault="00255D17" w:rsidP="009C4BBA">
      <w:pPr>
        <w:spacing w:after="0" w:line="240" w:lineRule="auto"/>
        <w:jc w:val="both"/>
        <w:rPr>
          <w:rFonts w:ascii="Times New Roman" w:hAnsi="Times New Roman" w:cs="Times New Roman"/>
          <w:iCs/>
          <w:sz w:val="28"/>
          <w:szCs w:val="28"/>
        </w:rPr>
      </w:pPr>
      <w:r>
        <w:rPr>
          <w:rFonts w:ascii="Times New Roman" w:hAnsi="Times New Roman" w:cs="Times New Roman"/>
          <w:iCs/>
          <w:noProof/>
          <w:sz w:val="28"/>
          <w:szCs w:val="28"/>
        </w:rPr>
        <w:pict>
          <v:shape id="Straight Arrow Connector 17" o:spid="_x0000_s1028" type="#_x0000_t32" style="position:absolute;left:0;text-align:left;margin-left:-12.85pt;margin-top:8.95pt;width:494.5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j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"/>
        </w:pict>
      </w:r>
      <w:r>
        <w:rPr>
          <w:rFonts w:ascii="Times New Roman" w:hAnsi="Times New Roman" w:cs="Times New Roman"/>
          <w:iCs/>
          <w:noProof/>
          <w:sz w:val="28"/>
          <w:szCs w:val="28"/>
        </w:rPr>
        <w:pict>
          <v:shape id="Straight Arrow Connector 16" o:spid="_x0000_s1027" type="#_x0000_t32" style="position:absolute;left:0;text-align:left;margin-left:-12.85pt;margin-top:8pt;width:494.5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"/>
        </w:pict>
      </w:r>
    </w:p>
    <w:p w:rsidR="009C4BBA" w:rsidRPr="00A4375E" w:rsidRDefault="009C4BBA" w:rsidP="009C4BBA">
      <w:pPr>
        <w:ind w:left="720" w:firstLine="720"/>
        <w:rPr>
          <w:rFonts w:ascii="Times New Roman" w:hAnsi="Times New Roman" w:cs="Times New Roman"/>
          <w:b/>
          <w:sz w:val="20"/>
          <w:szCs w:val="20"/>
        </w:rPr>
      </w:pPr>
    </w:p>
    <w:p w:rsidR="009C4BBA" w:rsidRPr="00A4375E" w:rsidRDefault="009C4BBA" w:rsidP="009C4BBA">
      <w:pPr>
        <w:spacing w:line="240" w:lineRule="auto"/>
        <w:jc w:val="both"/>
        <w:rPr>
          <w:rStyle w:val="markedcontent"/>
          <w:rFonts w:ascii="Times New Roman" w:hAnsi="Times New Roman" w:cs="Times New Roman"/>
          <w:sz w:val="20"/>
          <w:szCs w:val="20"/>
        </w:rPr>
        <w:sectPr w:rsidR="009C4BBA" w:rsidRPr="00A4375E" w:rsidSect="005D17B3">
          <w:pgSz w:w="12240" w:h="15840"/>
          <w:pgMar w:top="1440" w:right="1440" w:bottom="1440" w:left="1440" w:header="720" w:footer="720" w:gutter="0"/>
          <w:cols w:space="720"/>
          <w:docGrid w:linePitch="360"/>
        </w:sectPr>
      </w:pPr>
    </w:p>
    <w:p w:rsidR="009C4BBA" w:rsidRPr="00552068" w:rsidRDefault="009C4BBA" w:rsidP="00AF586B">
      <w:pPr>
        <w:spacing w:after="0" w:line="240" w:lineRule="auto"/>
        <w:jc w:val="center"/>
        <w:rPr>
          <w:rStyle w:val="markedcontent"/>
          <w:rFonts w:ascii="Times New Roman" w:hAnsi="Times New Roman" w:cs="Times New Roman"/>
          <w:b/>
          <w:sz w:val="20"/>
          <w:szCs w:val="20"/>
        </w:rPr>
      </w:pPr>
      <w:r w:rsidRPr="00552068">
        <w:rPr>
          <w:rStyle w:val="markedcontent"/>
          <w:rFonts w:ascii="Times New Roman" w:hAnsi="Times New Roman" w:cs="Times New Roman"/>
          <w:b/>
          <w:sz w:val="20"/>
          <w:szCs w:val="20"/>
        </w:rPr>
        <w:lastRenderedPageBreak/>
        <w:t>INTRODUCTION</w:t>
      </w:r>
    </w:p>
    <w:p w:rsidR="009C4BBA" w:rsidRPr="00552068" w:rsidRDefault="00552068" w:rsidP="00AF586B">
      <w:pPr>
        <w:spacing w:after="0" w:line="240" w:lineRule="auto"/>
        <w:jc w:val="both"/>
        <w:rPr>
          <w:rStyle w:val="markedcontent"/>
          <w:rFonts w:ascii="Times New Roman" w:hAnsi="Times New Roman" w:cs="Times New Roman"/>
        </w:rPr>
      </w:pPr>
      <w:r w:rsidRPr="00BD7B22">
        <w:rPr>
          <w:rFonts w:ascii="Times New Roman" w:hAnsi="Times New Roman" w:cs="Times New Roman"/>
        </w:rPr>
        <w:t xml:space="preserve">Burn injuries represent a significant global public health burden, with an estimated 180,000 deaths annually, the </w:t>
      </w:r>
      <w:proofErr w:type="gramStart"/>
      <w:r w:rsidRPr="00BD7B22">
        <w:rPr>
          <w:rFonts w:ascii="Times New Roman" w:hAnsi="Times New Roman" w:cs="Times New Roman"/>
        </w:rPr>
        <w:t xml:space="preserve">majority occurring in low- and middle-income countries </w:t>
      </w:r>
      <w:r w:rsidRPr="00552068">
        <w:rPr>
          <w:rFonts w:ascii="Times New Roman" w:hAnsi="Times New Roman" w:cs="Times New Roman"/>
        </w:rPr>
        <w:t>[</w:t>
      </w:r>
      <w:r w:rsidRPr="00552068">
        <w:rPr>
          <w:rStyle w:val="markedcontent"/>
          <w:rFonts w:ascii="Times New Roman" w:hAnsi="Times New Roman" w:cs="Times New Roman"/>
          <w:sz w:val="20"/>
          <w:szCs w:val="20"/>
        </w:rPr>
        <w:t>1].</w:t>
      </w:r>
      <w:r w:rsidRPr="00BD7B22">
        <w:rPr>
          <w:rFonts w:ascii="Times New Roman" w:hAnsi="Times New Roman" w:cs="Times New Roman"/>
        </w:rPr>
        <w:t>Burns are</w:t>
      </w:r>
      <w:proofErr w:type="gramEnd"/>
      <w:r w:rsidRPr="00BD7B22">
        <w:rPr>
          <w:rFonts w:ascii="Times New Roman" w:hAnsi="Times New Roman" w:cs="Times New Roman"/>
        </w:rPr>
        <w:t xml:space="preserve"> classified as injuries to the skin or other tissues caused primarily by heat but can also result from radiation, electricity, or chemicals. The impact of burn injuries is particularly severe in low-resource settings, where access to appropriate treatment and preventive measures is limited. Globally, non-fatal burn injuries are a leading </w:t>
      </w:r>
      <w:r w:rsidRPr="00BD7B22">
        <w:rPr>
          <w:rFonts w:ascii="Times New Roman" w:hAnsi="Times New Roman" w:cs="Times New Roman"/>
        </w:rPr>
        <w:lastRenderedPageBreak/>
        <w:t xml:space="preserve">cause of morbidity, especially in children and women, often leading to prolonged hospitalization, disability, and social stigma. Regional differences in burn injury prevalence are striking. For instance, children under five in the WHO African Region experience more than twice the rate of burn-related deaths compared to their global counterparts. Meanwhile, high-income countries have seen a decline in burn-related deaths due to better safety measures and medical interventions, but the situation remains </w:t>
      </w:r>
      <w:r w:rsidRPr="00BD7B22">
        <w:rPr>
          <w:rFonts w:ascii="Times New Roman" w:hAnsi="Times New Roman" w:cs="Times New Roman"/>
        </w:rPr>
        <w:lastRenderedPageBreak/>
        <w:t>critical in countries like India, where over one million peopl</w:t>
      </w:r>
      <w:r>
        <w:rPr>
          <w:rFonts w:ascii="Times New Roman" w:hAnsi="Times New Roman" w:cs="Times New Roman"/>
        </w:rPr>
        <w:t>e are severely burned annually</w:t>
      </w:r>
      <w:r w:rsidRPr="00552068">
        <w:rPr>
          <w:rFonts w:ascii="Times New Roman" w:hAnsi="Times New Roman" w:cs="Times New Roman"/>
        </w:rPr>
        <w:t xml:space="preserve"> [</w:t>
      </w:r>
      <w:r w:rsidRPr="00552068">
        <w:rPr>
          <w:rStyle w:val="markedcontent"/>
          <w:rFonts w:ascii="Times New Roman" w:hAnsi="Times New Roman" w:cs="Times New Roman"/>
          <w:sz w:val="20"/>
          <w:szCs w:val="20"/>
        </w:rPr>
        <w:t>1</w:t>
      </w:r>
      <w:r w:rsidR="009C4BBA" w:rsidRPr="00552068">
        <w:rPr>
          <w:rStyle w:val="markedcontent"/>
          <w:rFonts w:ascii="Times New Roman" w:hAnsi="Times New Roman" w:cs="Times New Roman"/>
          <w:sz w:val="20"/>
          <w:szCs w:val="20"/>
        </w:rPr>
        <w:t>].</w:t>
      </w:r>
    </w:p>
    <w:p w:rsidR="00552068" w:rsidRPr="00BD7B22" w:rsidRDefault="00552068"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Socioeconomic factors also play a significant role in the incidence and outcomes of burn injuries. People in poorer regions or communities face higher risks due to unsafe cooking methods, inadequate housing, and limited access to healthcare. Additionally, burn injuries from cooking accidents, such as those involving kerosene stoves, are particularly prevalent in countries like South Africa, where millions are spent annually on burn-related care. In terms of treatment, while burn care has advanced significantly in high-income countries, leading to shorter hospital stays and specialized burn </w:t>
      </w:r>
      <w:proofErr w:type="spellStart"/>
      <w:r w:rsidRPr="00BD7B22">
        <w:rPr>
          <w:rFonts w:ascii="Times New Roman" w:hAnsi="Times New Roman" w:cs="Times New Roman"/>
        </w:rPr>
        <w:t>centres</w:t>
      </w:r>
      <w:proofErr w:type="spellEnd"/>
      <w:r w:rsidRPr="00BD7B22">
        <w:rPr>
          <w:rFonts w:ascii="Times New Roman" w:hAnsi="Times New Roman" w:cs="Times New Roman"/>
        </w:rPr>
        <w:t xml:space="preserve">, the challenges in low-income regions persist. As burns continue to be a leading cause of death and disability, especially in regions like South-East Asia and Africa, there is an urgent need for improved preventive strategies and healthcare resources globally </w:t>
      </w:r>
      <w:r w:rsidRPr="00552068">
        <w:rPr>
          <w:rFonts w:ascii="Times New Roman" w:hAnsi="Times New Roman" w:cs="Times New Roman"/>
        </w:rPr>
        <w:t>[</w:t>
      </w:r>
      <w:r w:rsidRPr="00552068">
        <w:rPr>
          <w:rStyle w:val="markedcontent"/>
          <w:rFonts w:ascii="Times New Roman" w:hAnsi="Times New Roman" w:cs="Times New Roman"/>
          <w:sz w:val="20"/>
          <w:szCs w:val="20"/>
        </w:rPr>
        <w:t>1].</w:t>
      </w:r>
    </w:p>
    <w:p w:rsidR="00AF586B" w:rsidRDefault="00552068" w:rsidP="00AF586B">
      <w:pPr>
        <w:spacing w:after="0" w:line="240" w:lineRule="auto"/>
        <w:jc w:val="both"/>
        <w:rPr>
          <w:rStyle w:val="markedcontent"/>
          <w:rFonts w:ascii="Times New Roman" w:hAnsi="Times New Roman" w:cs="Times New Roman"/>
          <w:sz w:val="20"/>
          <w:szCs w:val="20"/>
        </w:rPr>
      </w:pPr>
      <w:r w:rsidRPr="00BD7B22">
        <w:rPr>
          <w:rFonts w:ascii="Times New Roman" w:hAnsi="Times New Roman" w:cs="Times New Roman"/>
        </w:rPr>
        <w:t xml:space="preserve">The </w:t>
      </w:r>
      <w:proofErr w:type="spellStart"/>
      <w:r w:rsidRPr="00BD7B22">
        <w:rPr>
          <w:rFonts w:ascii="Times New Roman" w:hAnsi="Times New Roman" w:cs="Times New Roman"/>
        </w:rPr>
        <w:t>pathophysiology</w:t>
      </w:r>
      <w:proofErr w:type="spellEnd"/>
      <w:r w:rsidRPr="00BD7B22">
        <w:rPr>
          <w:rFonts w:ascii="Times New Roman" w:hAnsi="Times New Roman" w:cs="Times New Roman"/>
        </w:rPr>
        <w:t xml:space="preserve"> of burn injuries involves complex processes that extend far beyond the destruction of skin tissue. Burns cause significant damage to the skin’s integrity, leading to a cascade of physiological changes, which ultimately predispose patients to bacterial infections. Understanding the mechanisms that occur in burns helps explain why these injuries are highly susceptible to colonization by opportunistic pathogens. When skin is exposed to heat, chemicals, or electrical forces, the immediate consequence is the destruction of the epidermal and dermal layers, depending on the severity. The skin, as the body's largest organ, serves as a critical barrier against microbial invasion. With burn injuries, this physical barrier is compromised, leaving underlying tissues exposed. As the body reacts to this damage, inflammatory processes begin, leading to increased permeability of blood vessels, immune cell migration, and tissue </w:t>
      </w:r>
      <w:proofErr w:type="spellStart"/>
      <w:r w:rsidRPr="00BD7B22">
        <w:rPr>
          <w:rFonts w:ascii="Times New Roman" w:hAnsi="Times New Roman" w:cs="Times New Roman"/>
        </w:rPr>
        <w:t>oedema</w:t>
      </w:r>
      <w:proofErr w:type="spellEnd"/>
      <w:r w:rsidRPr="00BD7B22">
        <w:rPr>
          <w:rFonts w:ascii="Times New Roman" w:hAnsi="Times New Roman" w:cs="Times New Roman"/>
        </w:rPr>
        <w:t xml:space="preserve"> </w:t>
      </w:r>
      <w:r w:rsidR="00AF586B" w:rsidRPr="00552068">
        <w:rPr>
          <w:rFonts w:ascii="Times New Roman" w:hAnsi="Times New Roman" w:cs="Times New Roman"/>
        </w:rPr>
        <w:t>[</w:t>
      </w:r>
      <w:r w:rsidR="00AF586B">
        <w:rPr>
          <w:rStyle w:val="markedcontent"/>
          <w:rFonts w:ascii="Times New Roman" w:hAnsi="Times New Roman" w:cs="Times New Roman"/>
          <w:sz w:val="20"/>
          <w:szCs w:val="20"/>
        </w:rPr>
        <w:t>2</w:t>
      </w:r>
      <w:r w:rsidR="00AF586B" w:rsidRPr="00552068">
        <w:rPr>
          <w:rStyle w:val="markedcontent"/>
          <w:rFonts w:ascii="Times New Roman" w:hAnsi="Times New Roman" w:cs="Times New Roman"/>
          <w:sz w:val="20"/>
          <w:szCs w:val="20"/>
        </w:rPr>
        <w:t>].</w:t>
      </w:r>
    </w:p>
    <w:p w:rsidR="009C4BBA" w:rsidRPr="00AF586B" w:rsidRDefault="00AF586B" w:rsidP="00AF586B">
      <w:pPr>
        <w:spacing w:after="0" w:line="240" w:lineRule="auto"/>
        <w:jc w:val="both"/>
        <w:rPr>
          <w:rFonts w:ascii="Times New Roman" w:hAnsi="Times New Roman" w:cs="Times New Roman"/>
          <w:sz w:val="20"/>
          <w:szCs w:val="20"/>
        </w:rPr>
      </w:pPr>
      <w:r w:rsidRPr="00BD7B22">
        <w:rPr>
          <w:rFonts w:ascii="Times New Roman" w:hAnsi="Times New Roman" w:cs="Times New Roman"/>
        </w:rPr>
        <w:t xml:space="preserve">Consequently, bacteria that are normally part of the skin’s </w:t>
      </w:r>
      <w:proofErr w:type="spellStart"/>
      <w:r w:rsidRPr="00BD7B22">
        <w:rPr>
          <w:rFonts w:ascii="Times New Roman" w:hAnsi="Times New Roman" w:cs="Times New Roman"/>
        </w:rPr>
        <w:t>microbiota</w:t>
      </w:r>
      <w:proofErr w:type="spellEnd"/>
      <w:r w:rsidRPr="00BD7B22">
        <w:rPr>
          <w:rFonts w:ascii="Times New Roman" w:hAnsi="Times New Roman" w:cs="Times New Roman"/>
        </w:rPr>
        <w:t xml:space="preserve">, such as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or those acquired from the hospital environment, like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can rapidly colonize the wound site. Furthermore, burns can lead to the development of </w:t>
      </w:r>
      <w:proofErr w:type="spellStart"/>
      <w:r w:rsidRPr="00BD7B22">
        <w:rPr>
          <w:rFonts w:ascii="Times New Roman" w:hAnsi="Times New Roman" w:cs="Times New Roman"/>
        </w:rPr>
        <w:t>eschar</w:t>
      </w:r>
      <w:proofErr w:type="spellEnd"/>
      <w:r w:rsidRPr="00BD7B22">
        <w:rPr>
          <w:rFonts w:ascii="Times New Roman" w:hAnsi="Times New Roman" w:cs="Times New Roman"/>
        </w:rPr>
        <w:t xml:space="preserve">, which is a thick, devitalized tissue that forms over the wound. The </w:t>
      </w:r>
      <w:proofErr w:type="spellStart"/>
      <w:r w:rsidRPr="00BD7B22">
        <w:rPr>
          <w:rFonts w:ascii="Times New Roman" w:hAnsi="Times New Roman" w:cs="Times New Roman"/>
        </w:rPr>
        <w:t>eschar</w:t>
      </w:r>
      <w:proofErr w:type="spellEnd"/>
      <w:r w:rsidRPr="00BD7B22">
        <w:rPr>
          <w:rFonts w:ascii="Times New Roman" w:hAnsi="Times New Roman" w:cs="Times New Roman"/>
        </w:rPr>
        <w:t xml:space="preserve"> impedes oxygenation and blood flow to the wound site, </w:t>
      </w:r>
      <w:r w:rsidRPr="00BD7B22">
        <w:rPr>
          <w:rFonts w:ascii="Times New Roman" w:hAnsi="Times New Roman" w:cs="Times New Roman"/>
        </w:rPr>
        <w:lastRenderedPageBreak/>
        <w:t xml:space="preserve">creating an anaerobic environment that supports the growth of bacteria, including Clostridium species. The combination of impaired immune </w:t>
      </w:r>
      <w:proofErr w:type="spellStart"/>
      <w:r w:rsidRPr="00BD7B22">
        <w:rPr>
          <w:rFonts w:ascii="Times New Roman" w:hAnsi="Times New Roman" w:cs="Times New Roman"/>
        </w:rPr>
        <w:t>defences</w:t>
      </w:r>
      <w:proofErr w:type="spellEnd"/>
      <w:r w:rsidRPr="00BD7B22">
        <w:rPr>
          <w:rFonts w:ascii="Times New Roman" w:hAnsi="Times New Roman" w:cs="Times New Roman"/>
        </w:rPr>
        <w:t xml:space="preserve"> and a </w:t>
      </w:r>
      <w:proofErr w:type="spellStart"/>
      <w:r w:rsidRPr="00BD7B22">
        <w:rPr>
          <w:rFonts w:ascii="Times New Roman" w:hAnsi="Times New Roman" w:cs="Times New Roman"/>
        </w:rPr>
        <w:t>favourable</w:t>
      </w:r>
      <w:proofErr w:type="spellEnd"/>
      <w:r w:rsidRPr="00BD7B22">
        <w:rPr>
          <w:rFonts w:ascii="Times New Roman" w:hAnsi="Times New Roman" w:cs="Times New Roman"/>
        </w:rPr>
        <w:t xml:space="preserve"> bacterial environment makes burn patients particularly prone to both local wound infections and systemic sepsis, which significantly increases morbidity and mortality. </w:t>
      </w:r>
      <w:proofErr w:type="gramStart"/>
      <w:r w:rsidRPr="00BD7B22">
        <w:rPr>
          <w:rFonts w:ascii="Times New Roman" w:hAnsi="Times New Roman" w:cs="Times New Roman"/>
        </w:rPr>
        <w:t xml:space="preserve">Though the release of pro-inflammatory cytokines, such as interleukin-1 (IL-1) and </w:t>
      </w:r>
      <w:proofErr w:type="spellStart"/>
      <w:r w:rsidRPr="00BD7B22">
        <w:rPr>
          <w:rFonts w:ascii="Times New Roman" w:hAnsi="Times New Roman" w:cs="Times New Roman"/>
        </w:rPr>
        <w:t>tumour</w:t>
      </w:r>
      <w:proofErr w:type="spellEnd"/>
      <w:r w:rsidRPr="00BD7B22">
        <w:rPr>
          <w:rFonts w:ascii="Times New Roman" w:hAnsi="Times New Roman" w:cs="Times New Roman"/>
        </w:rPr>
        <w:t xml:space="preserve"> necrosis factor (TNF), further exacerbates this vascular permeability, creating an environment rich in fluids that serve as a nutrient source for bacteria.</w:t>
      </w:r>
      <w:proofErr w:type="gramEnd"/>
      <w:r w:rsidRPr="00BD7B22">
        <w:rPr>
          <w:rFonts w:ascii="Times New Roman" w:hAnsi="Times New Roman" w:cs="Times New Roman"/>
        </w:rPr>
        <w:t xml:space="preserve"> Burn wounds are also characterized by a disruption of the immune system’s function, contributing to their high susceptibility to infection. The localized immune response is often insufficient to control microbial colonization, and systemic </w:t>
      </w:r>
      <w:proofErr w:type="spellStart"/>
      <w:r w:rsidRPr="00BD7B22">
        <w:rPr>
          <w:rFonts w:ascii="Times New Roman" w:hAnsi="Times New Roman" w:cs="Times New Roman"/>
        </w:rPr>
        <w:t>immunosuppression</w:t>
      </w:r>
      <w:proofErr w:type="spellEnd"/>
      <w:r w:rsidRPr="00BD7B22">
        <w:rPr>
          <w:rFonts w:ascii="Times New Roman" w:hAnsi="Times New Roman" w:cs="Times New Roman"/>
        </w:rPr>
        <w:t xml:space="preserve"> follows within days of the injury. This </w:t>
      </w:r>
      <w:proofErr w:type="spellStart"/>
      <w:r w:rsidRPr="00BD7B22">
        <w:rPr>
          <w:rFonts w:ascii="Times New Roman" w:hAnsi="Times New Roman" w:cs="Times New Roman"/>
        </w:rPr>
        <w:t>immunosuppression</w:t>
      </w:r>
      <w:proofErr w:type="spellEnd"/>
      <w:r w:rsidRPr="00BD7B22">
        <w:rPr>
          <w:rFonts w:ascii="Times New Roman" w:hAnsi="Times New Roman" w:cs="Times New Roman"/>
        </w:rPr>
        <w:t xml:space="preserve"> results from both the extensive tissue damage and the body’s stress response, reducing the effectiveness of macrophages and </w:t>
      </w:r>
      <w:proofErr w:type="spellStart"/>
      <w:r w:rsidRPr="00BD7B22">
        <w:rPr>
          <w:rFonts w:ascii="Times New Roman" w:hAnsi="Times New Roman" w:cs="Times New Roman"/>
        </w:rPr>
        <w:t>neutrophils</w:t>
      </w:r>
      <w:proofErr w:type="spellEnd"/>
      <w:r w:rsidRPr="00BD7B22">
        <w:rPr>
          <w:rFonts w:ascii="Times New Roman" w:hAnsi="Times New Roman" w:cs="Times New Roman"/>
        </w:rPr>
        <w:t xml:space="preserve"> in containing infections </w:t>
      </w:r>
      <w:r w:rsidRPr="00552068">
        <w:rPr>
          <w:rFonts w:ascii="Times New Roman" w:hAnsi="Times New Roman" w:cs="Times New Roman"/>
        </w:rPr>
        <w:t>[</w:t>
      </w:r>
      <w:r>
        <w:rPr>
          <w:rStyle w:val="markedcontent"/>
          <w:rFonts w:ascii="Times New Roman" w:hAnsi="Times New Roman" w:cs="Times New Roman"/>
          <w:sz w:val="20"/>
          <w:szCs w:val="20"/>
        </w:rPr>
        <w:t>3</w:t>
      </w:r>
      <w:r w:rsidRPr="00552068">
        <w:rPr>
          <w:rStyle w:val="markedcontent"/>
          <w:rFonts w:ascii="Times New Roman" w:hAnsi="Times New Roman" w:cs="Times New Roman"/>
          <w:sz w:val="20"/>
          <w:szCs w:val="20"/>
        </w:rPr>
        <w:t>].</w:t>
      </w:r>
    </w:p>
    <w:p w:rsidR="00AF586B" w:rsidRDefault="009C4BBA" w:rsidP="00AF586B">
      <w:pPr>
        <w:pBdr>
          <w:top w:val="nil"/>
          <w:left w:val="nil"/>
          <w:bottom w:val="nil"/>
          <w:right w:val="nil"/>
          <w:between w:val="nil"/>
        </w:pBdr>
        <w:spacing w:after="0" w:line="240" w:lineRule="auto"/>
        <w:jc w:val="both"/>
        <w:rPr>
          <w:rFonts w:ascii="Times New Roman" w:hAnsi="Times New Roman" w:cs="Times New Roman"/>
        </w:rPr>
      </w:pPr>
      <w:r w:rsidRPr="00A4375E">
        <w:rPr>
          <w:rFonts w:ascii="Times New Roman" w:eastAsia="Times New Roman" w:hAnsi="Times New Roman" w:cs="Times New Roman"/>
          <w:sz w:val="20"/>
          <w:szCs w:val="20"/>
        </w:rPr>
        <w:t xml:space="preserve">This present study has been designed to </w:t>
      </w:r>
      <w:r w:rsidR="00AF586B" w:rsidRPr="00BD7B22">
        <w:rPr>
          <w:rFonts w:ascii="Times New Roman" w:hAnsi="Times New Roman" w:cs="Times New Roman"/>
        </w:rPr>
        <w:t xml:space="preserve">investigate the bacteriological profile of burn wounds among patients at </w:t>
      </w:r>
      <w:proofErr w:type="spellStart"/>
      <w:r w:rsidR="00AF586B" w:rsidRPr="00BD7B22">
        <w:rPr>
          <w:rFonts w:ascii="Times New Roman" w:hAnsi="Times New Roman" w:cs="Times New Roman"/>
        </w:rPr>
        <w:t>Orthopaedics</w:t>
      </w:r>
      <w:proofErr w:type="spellEnd"/>
      <w:r w:rsidR="00AF586B" w:rsidRPr="00BD7B22">
        <w:rPr>
          <w:rFonts w:ascii="Times New Roman" w:hAnsi="Times New Roman" w:cs="Times New Roman"/>
        </w:rPr>
        <w:t xml:space="preserve"> Hospital, Enugu, Nigeria, focusing on identifying predominant bacterial pathogens, their antibiotic resistance patterns, and associated risk factors for infection to inform clinical management and improve patient outcomes.</w:t>
      </w:r>
    </w:p>
    <w:p w:rsidR="009C4BBA" w:rsidRPr="00A4375E" w:rsidRDefault="009C4BBA" w:rsidP="00AF586B">
      <w:pPr>
        <w:spacing w:after="0" w:line="240" w:lineRule="auto"/>
        <w:jc w:val="both"/>
        <w:rPr>
          <w:rFonts w:ascii="Times New Roman" w:hAnsi="Times New Roman" w:cs="Times New Roman"/>
          <w:b/>
          <w:sz w:val="20"/>
          <w:szCs w:val="20"/>
        </w:rPr>
      </w:pPr>
    </w:p>
    <w:p w:rsidR="009C4BBA" w:rsidRPr="00A4375E" w:rsidRDefault="009C4BBA" w:rsidP="00AF586B">
      <w:pPr>
        <w:spacing w:after="0"/>
        <w:jc w:val="center"/>
        <w:rPr>
          <w:rFonts w:ascii="Times New Roman" w:hAnsi="Times New Roman" w:cs="Times New Roman"/>
          <w:b/>
          <w:sz w:val="20"/>
          <w:szCs w:val="20"/>
        </w:rPr>
      </w:pPr>
      <w:r w:rsidRPr="00A4375E">
        <w:rPr>
          <w:rFonts w:ascii="Times New Roman" w:hAnsi="Times New Roman" w:cs="Times New Roman"/>
          <w:b/>
          <w:sz w:val="20"/>
          <w:szCs w:val="20"/>
        </w:rPr>
        <w:t>MATERIALS AND METHOD</w:t>
      </w:r>
    </w:p>
    <w:p w:rsidR="00AF586B" w:rsidRPr="00BD7B22" w:rsidRDefault="00AF586B" w:rsidP="00AF586B">
      <w:pPr>
        <w:spacing w:after="0" w:line="240" w:lineRule="auto"/>
        <w:jc w:val="both"/>
        <w:rPr>
          <w:rFonts w:ascii="Times New Roman" w:hAnsi="Times New Roman" w:cs="Times New Roman"/>
          <w:b/>
          <w:bCs/>
        </w:rPr>
      </w:pPr>
      <w:r w:rsidRPr="00BD7B22">
        <w:rPr>
          <w:rFonts w:ascii="Times New Roman" w:hAnsi="Times New Roman" w:cs="Times New Roman"/>
          <w:b/>
          <w:bCs/>
        </w:rPr>
        <w:t>STUDY DESIGN/AREA</w:t>
      </w:r>
    </w:p>
    <w:p w:rsidR="00AF586B"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This research will utilize a cross-sectional, observational study design conducted at the </w:t>
      </w:r>
      <w:proofErr w:type="spellStart"/>
      <w:r w:rsidRPr="00BD7B22">
        <w:rPr>
          <w:rFonts w:ascii="Times New Roman" w:hAnsi="Times New Roman" w:cs="Times New Roman"/>
        </w:rPr>
        <w:t>Orthopaedics</w:t>
      </w:r>
      <w:proofErr w:type="spellEnd"/>
      <w:r w:rsidRPr="00BD7B22">
        <w:rPr>
          <w:rFonts w:ascii="Times New Roman" w:hAnsi="Times New Roman" w:cs="Times New Roman"/>
        </w:rPr>
        <w:t xml:space="preserve"> Hospital in Enugu. This approach allows for the simultaneous assessment of the bacteriological profiles of burn wounds and their antibiotic resistance patterns at a specific point in time. By systematically collecting microbiological samples from patients with burn injuries, the study aims to identify prevalent pathogens and evaluate their susceptibility to antibiotics. Additionally, demographic and clinical data will be gathered to understand the factors influencing infection risk and treatment effectiveness. Ultimately, this localized data will provide valuable insights to inform clinical </w:t>
      </w:r>
      <w:r w:rsidRPr="00BD7B22">
        <w:rPr>
          <w:rFonts w:ascii="Times New Roman" w:hAnsi="Times New Roman" w:cs="Times New Roman"/>
        </w:rPr>
        <w:lastRenderedPageBreak/>
        <w:t>practice and public health initiatives in burn care in Nigeria.</w:t>
      </w:r>
    </w:p>
    <w:p w:rsidR="009C4BBA" w:rsidRPr="00A4375E" w:rsidRDefault="009C4BBA" w:rsidP="00AF586B">
      <w:pPr>
        <w:spacing w:after="0" w:line="240" w:lineRule="auto"/>
        <w:jc w:val="both"/>
        <w:rPr>
          <w:rFonts w:ascii="Times New Roman" w:hAnsi="Times New Roman" w:cs="Times New Roman"/>
          <w:sz w:val="16"/>
          <w:szCs w:val="20"/>
        </w:rPr>
      </w:pPr>
    </w:p>
    <w:p w:rsidR="00AF586B" w:rsidRPr="00BD7B22" w:rsidRDefault="00AF586B" w:rsidP="00AF586B">
      <w:pPr>
        <w:spacing w:after="0" w:line="240" w:lineRule="auto"/>
        <w:jc w:val="both"/>
        <w:rPr>
          <w:rFonts w:ascii="Times New Roman" w:hAnsi="Times New Roman" w:cs="Times New Roman"/>
          <w:b/>
          <w:bCs/>
        </w:rPr>
      </w:pPr>
      <w:r w:rsidRPr="00BD7B22">
        <w:rPr>
          <w:rFonts w:ascii="Times New Roman" w:hAnsi="Times New Roman" w:cs="Times New Roman"/>
          <w:b/>
          <w:bCs/>
        </w:rPr>
        <w:t>STUDY POPULATION</w:t>
      </w:r>
    </w:p>
    <w:p w:rsidR="00AF586B"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The study population will consist of patients admitted for burn injuries at the Orthopedics Hospital in Enugu. To ensure the reliability and validity of the research findings, specific inclusion and exclusion criteria will be established for selecting study participants. </w:t>
      </w:r>
    </w:p>
    <w:p w:rsidR="00AF586B" w:rsidRPr="00BD7B22" w:rsidRDefault="00AF586B" w:rsidP="00AF586B">
      <w:pPr>
        <w:spacing w:after="0" w:line="240" w:lineRule="auto"/>
        <w:jc w:val="both"/>
        <w:rPr>
          <w:rFonts w:ascii="Times New Roman" w:hAnsi="Times New Roman" w:cs="Times New Roman"/>
          <w:b/>
          <w:bCs/>
        </w:rPr>
      </w:pPr>
      <w:r w:rsidRPr="00BD7B22">
        <w:rPr>
          <w:rFonts w:ascii="Times New Roman" w:hAnsi="Times New Roman" w:cs="Times New Roman"/>
          <w:b/>
          <w:bCs/>
        </w:rPr>
        <w:t>INCLUSION CRITERIA</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Participants will be included in the study if they meet the following criteria:</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 Adults and </w:t>
      </w:r>
      <w:proofErr w:type="spellStart"/>
      <w:r w:rsidRPr="00BD7B22">
        <w:rPr>
          <w:rFonts w:ascii="Times New Roman" w:hAnsi="Times New Roman" w:cs="Times New Roman"/>
        </w:rPr>
        <w:t>paediatric</w:t>
      </w:r>
      <w:proofErr w:type="spellEnd"/>
      <w:r w:rsidRPr="00BD7B22">
        <w:rPr>
          <w:rFonts w:ascii="Times New Roman" w:hAnsi="Times New Roman" w:cs="Times New Roman"/>
        </w:rPr>
        <w:t xml:space="preserve"> patients (aged 18-65years) admitted to the hospital with burn injuries.</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Patients who approve informed consent for participation in the study.</w:t>
      </w:r>
    </w:p>
    <w:p w:rsidR="00AF586B"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Individuals with varying degrees of burn injuries, including first, second, and third degrees, who are willing to participate in the collection of microbiological samples.</w:t>
      </w:r>
    </w:p>
    <w:p w:rsidR="009C4BBA" w:rsidRPr="00A4375E" w:rsidRDefault="009C4BBA" w:rsidP="00AF586B">
      <w:pPr>
        <w:spacing w:after="0" w:line="240" w:lineRule="auto"/>
        <w:jc w:val="both"/>
        <w:rPr>
          <w:rStyle w:val="markedcontent"/>
          <w:rFonts w:ascii="Times New Roman" w:hAnsi="Times New Roman" w:cs="Times New Roman"/>
          <w:b/>
          <w:sz w:val="20"/>
          <w:szCs w:val="20"/>
        </w:rPr>
      </w:pP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b/>
          <w:bCs/>
        </w:rPr>
        <w:t>EXCLUSION CRITERIA</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Participants will be excluded from the study if they meet any of the following criteria:</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Patients with burn injuries caused by chemical or electrical sources, as these may present distinct microbial profiles and management considerations.</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Individuals with concurrent infections unrelated to the burn injury that may complicate the interpretation of microbiological results.</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 Patients who are </w:t>
      </w:r>
      <w:proofErr w:type="spellStart"/>
      <w:r w:rsidRPr="00BD7B22">
        <w:rPr>
          <w:rFonts w:ascii="Times New Roman" w:hAnsi="Times New Roman" w:cs="Times New Roman"/>
        </w:rPr>
        <w:t>immunocompromised</w:t>
      </w:r>
      <w:proofErr w:type="spellEnd"/>
      <w:r w:rsidRPr="00BD7B22">
        <w:rPr>
          <w:rFonts w:ascii="Times New Roman" w:hAnsi="Times New Roman" w:cs="Times New Roman"/>
        </w:rPr>
        <w:t xml:space="preserve"> or have significant </w:t>
      </w:r>
      <w:proofErr w:type="spellStart"/>
      <w:r w:rsidRPr="00BD7B22">
        <w:rPr>
          <w:rFonts w:ascii="Times New Roman" w:hAnsi="Times New Roman" w:cs="Times New Roman"/>
        </w:rPr>
        <w:t>comorbidities</w:t>
      </w:r>
      <w:proofErr w:type="spellEnd"/>
      <w:r w:rsidRPr="00BD7B22">
        <w:rPr>
          <w:rFonts w:ascii="Times New Roman" w:hAnsi="Times New Roman" w:cs="Times New Roman"/>
        </w:rPr>
        <w:t xml:space="preserve"> that could confound the study outcomes (e.g., advanced diabetes or chronic kidney disease).</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 Those </w:t>
      </w:r>
      <w:proofErr w:type="gramStart"/>
      <w:r w:rsidRPr="00BD7B22">
        <w:rPr>
          <w:rFonts w:ascii="Times New Roman" w:hAnsi="Times New Roman" w:cs="Times New Roman"/>
        </w:rPr>
        <w:t>who</w:t>
      </w:r>
      <w:proofErr w:type="gramEnd"/>
      <w:r w:rsidRPr="00BD7B22">
        <w:rPr>
          <w:rFonts w:ascii="Times New Roman" w:hAnsi="Times New Roman" w:cs="Times New Roman"/>
        </w:rPr>
        <w:t xml:space="preserve"> are on prolonged antibiotic therapy prior to admission, as this could impact the bacterial flora and resistance patterns.</w:t>
      </w:r>
    </w:p>
    <w:p w:rsidR="009C4BBA" w:rsidRPr="00A4375E" w:rsidRDefault="009C4BBA" w:rsidP="00AF586B">
      <w:pPr>
        <w:spacing w:after="0" w:line="240" w:lineRule="auto"/>
        <w:jc w:val="both"/>
        <w:rPr>
          <w:rFonts w:ascii="Times New Roman" w:eastAsia="+mn-ea" w:hAnsi="Times New Roman" w:cs="Times New Roman"/>
          <w:b/>
          <w:sz w:val="20"/>
          <w:szCs w:val="20"/>
        </w:rPr>
      </w:pPr>
    </w:p>
    <w:p w:rsidR="00AF586B" w:rsidRPr="00BD7B22" w:rsidRDefault="00AF586B" w:rsidP="00AF586B">
      <w:pPr>
        <w:spacing w:after="0" w:line="240" w:lineRule="auto"/>
        <w:jc w:val="both"/>
        <w:rPr>
          <w:rFonts w:ascii="Times New Roman" w:hAnsi="Times New Roman" w:cs="Times New Roman"/>
          <w:b/>
          <w:bCs/>
        </w:rPr>
      </w:pPr>
      <w:r w:rsidRPr="00BD7B22">
        <w:rPr>
          <w:rFonts w:ascii="Times New Roman" w:hAnsi="Times New Roman" w:cs="Times New Roman"/>
          <w:b/>
          <w:bCs/>
        </w:rPr>
        <w:t>SAMPLE SIZE DETERMINATION</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To estimate the sample size for this study, we aim for approximately 100 patients, ensuring statistical significance in our findings.</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1. </w:t>
      </w:r>
      <w:r>
        <w:rPr>
          <w:rFonts w:ascii="Times New Roman" w:hAnsi="Times New Roman" w:cs="Times New Roman"/>
        </w:rPr>
        <w:tab/>
      </w:r>
      <w:r w:rsidRPr="00BD7B22">
        <w:rPr>
          <w:rFonts w:ascii="Times New Roman" w:hAnsi="Times New Roman" w:cs="Times New Roman"/>
        </w:rPr>
        <w:t>Confidence Level (Z): We will use a 95% confidence level, which means we can be 95% sure our results reflect the true situation.</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2. </w:t>
      </w:r>
      <w:r>
        <w:rPr>
          <w:rFonts w:ascii="Times New Roman" w:hAnsi="Times New Roman" w:cs="Times New Roman"/>
        </w:rPr>
        <w:tab/>
      </w:r>
      <w:r w:rsidRPr="00BD7B22">
        <w:rPr>
          <w:rFonts w:ascii="Times New Roman" w:hAnsi="Times New Roman" w:cs="Times New Roman"/>
        </w:rPr>
        <w:t xml:space="preserve">Margin of Error (E): A margin of error of 5% (0.05) indicates how much our sample </w:t>
      </w:r>
      <w:r w:rsidRPr="00BD7B22">
        <w:rPr>
          <w:rFonts w:ascii="Times New Roman" w:hAnsi="Times New Roman" w:cs="Times New Roman"/>
        </w:rPr>
        <w:lastRenderedPageBreak/>
        <w:t>results might differ from the actual population.</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3. </w:t>
      </w:r>
      <w:r>
        <w:rPr>
          <w:rFonts w:ascii="Times New Roman" w:hAnsi="Times New Roman" w:cs="Times New Roman"/>
        </w:rPr>
        <w:tab/>
      </w:r>
      <w:r w:rsidRPr="00BD7B22">
        <w:rPr>
          <w:rFonts w:ascii="Times New Roman" w:hAnsi="Times New Roman" w:cs="Times New Roman"/>
        </w:rPr>
        <w:t>Estimated Prevalence (P): We estimate that about 30% of burn patients have infections based on previous studies.</w:t>
      </w:r>
    </w:p>
    <w:p w:rsidR="00AF586B" w:rsidRPr="00BD7B22" w:rsidRDefault="00AF586B" w:rsidP="00AF586B">
      <w:pPr>
        <w:spacing w:after="0" w:line="240" w:lineRule="auto"/>
        <w:ind w:left="360" w:hanging="360"/>
        <w:jc w:val="both"/>
        <w:rPr>
          <w:rFonts w:ascii="Times New Roman" w:hAnsi="Times New Roman" w:cs="Times New Roman"/>
          <w:b/>
          <w:bCs/>
        </w:rPr>
      </w:pPr>
      <w:r w:rsidRPr="00BD7B22">
        <w:rPr>
          <w:rFonts w:ascii="Times New Roman" w:hAnsi="Times New Roman" w:cs="Times New Roman"/>
          <w:b/>
          <w:bCs/>
        </w:rPr>
        <w:t>PROCEDURE</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1. </w:t>
      </w:r>
      <w:r>
        <w:rPr>
          <w:rFonts w:ascii="Times New Roman" w:hAnsi="Times New Roman" w:cs="Times New Roman"/>
        </w:rPr>
        <w:tab/>
      </w:r>
      <w:r w:rsidRPr="00BD7B22">
        <w:rPr>
          <w:rFonts w:ascii="Times New Roman" w:hAnsi="Times New Roman" w:cs="Times New Roman"/>
        </w:rPr>
        <w:t>We began by thoroughly washing my hands with soap and water and used an alcohol-based hand sanitizer to ensure proper hand hygiene.</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2. </w:t>
      </w:r>
      <w:r>
        <w:rPr>
          <w:rFonts w:ascii="Times New Roman" w:hAnsi="Times New Roman" w:cs="Times New Roman"/>
        </w:rPr>
        <w:tab/>
      </w:r>
      <w:r w:rsidRPr="00BD7B22">
        <w:rPr>
          <w:rFonts w:ascii="Times New Roman" w:hAnsi="Times New Roman" w:cs="Times New Roman"/>
        </w:rPr>
        <w:t>We put on sterile gloves and additional personal protective equipment (PPE), such as a mask and gown, to maintain aseptic conditions.</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3. </w:t>
      </w:r>
      <w:r>
        <w:rPr>
          <w:rFonts w:ascii="Times New Roman" w:hAnsi="Times New Roman" w:cs="Times New Roman"/>
        </w:rPr>
        <w:tab/>
      </w:r>
      <w:r w:rsidRPr="00BD7B22">
        <w:rPr>
          <w:rFonts w:ascii="Times New Roman" w:hAnsi="Times New Roman" w:cs="Times New Roman"/>
        </w:rPr>
        <w:t>We prepared all necessary equipment, including sterile wound swabs and sterile transport media, in a sterile environment to avoid contamination.</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4. </w:t>
      </w:r>
      <w:r>
        <w:rPr>
          <w:rFonts w:ascii="Times New Roman" w:hAnsi="Times New Roman" w:cs="Times New Roman"/>
        </w:rPr>
        <w:tab/>
      </w:r>
      <w:r w:rsidRPr="00BD7B22">
        <w:rPr>
          <w:rFonts w:ascii="Times New Roman" w:hAnsi="Times New Roman" w:cs="Times New Roman"/>
        </w:rPr>
        <w:t>We selected sterile swabs specifically designed for microbiological sampling.</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5.</w:t>
      </w:r>
      <w:r>
        <w:rPr>
          <w:rFonts w:ascii="Times New Roman" w:hAnsi="Times New Roman" w:cs="Times New Roman"/>
        </w:rPr>
        <w:tab/>
      </w:r>
      <w:r w:rsidRPr="00BD7B22">
        <w:rPr>
          <w:rFonts w:ascii="Times New Roman" w:hAnsi="Times New Roman" w:cs="Times New Roman"/>
        </w:rPr>
        <w:t xml:space="preserve"> We assessed the wound to identify the most contaminated areas while being careful to avoid necrotic tissue during the swab collection.</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6. </w:t>
      </w:r>
      <w:r>
        <w:rPr>
          <w:rFonts w:ascii="Times New Roman" w:hAnsi="Times New Roman" w:cs="Times New Roman"/>
        </w:rPr>
        <w:tab/>
      </w:r>
      <w:r w:rsidRPr="00BD7B22">
        <w:rPr>
          <w:rFonts w:ascii="Times New Roman" w:hAnsi="Times New Roman" w:cs="Times New Roman"/>
        </w:rPr>
        <w:t>Before swabbing, I gently cleaned the wound surface with sterile saline to remove any surface contaminants.</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7. </w:t>
      </w:r>
      <w:r>
        <w:rPr>
          <w:rFonts w:ascii="Times New Roman" w:hAnsi="Times New Roman" w:cs="Times New Roman"/>
        </w:rPr>
        <w:tab/>
      </w:r>
      <w:r w:rsidRPr="00BD7B22">
        <w:rPr>
          <w:rFonts w:ascii="Times New Roman" w:hAnsi="Times New Roman" w:cs="Times New Roman"/>
        </w:rPr>
        <w:t>We applied the sterile swab to the identified area of the wound, rotating it gently to collect microbial flora.</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8. </w:t>
      </w:r>
      <w:r>
        <w:rPr>
          <w:rFonts w:ascii="Times New Roman" w:hAnsi="Times New Roman" w:cs="Times New Roman"/>
        </w:rPr>
        <w:tab/>
      </w:r>
      <w:r w:rsidRPr="00BD7B22">
        <w:rPr>
          <w:rFonts w:ascii="Times New Roman" w:hAnsi="Times New Roman" w:cs="Times New Roman"/>
        </w:rPr>
        <w:t>We collected swabs within the first 24 hours of the patient’s admission for the initial assessment.</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9. </w:t>
      </w:r>
      <w:r>
        <w:rPr>
          <w:rFonts w:ascii="Times New Roman" w:hAnsi="Times New Roman" w:cs="Times New Roman"/>
        </w:rPr>
        <w:tab/>
      </w:r>
      <w:r w:rsidRPr="00BD7B22">
        <w:rPr>
          <w:rFonts w:ascii="Times New Roman" w:hAnsi="Times New Roman" w:cs="Times New Roman"/>
        </w:rPr>
        <w:t>We scheduled additional swab collections at regular intervals, such as Day 3, Day 7, and Day 14 post-admission.</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10. </w:t>
      </w:r>
      <w:r>
        <w:rPr>
          <w:rFonts w:ascii="Times New Roman" w:hAnsi="Times New Roman" w:cs="Times New Roman"/>
        </w:rPr>
        <w:tab/>
      </w:r>
      <w:r w:rsidRPr="00BD7B22">
        <w:rPr>
          <w:rFonts w:ascii="Times New Roman" w:hAnsi="Times New Roman" w:cs="Times New Roman"/>
        </w:rPr>
        <w:t>We ensured that all instruments used in the swab collection were sterilized before use.</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11. </w:t>
      </w:r>
      <w:r>
        <w:rPr>
          <w:rFonts w:ascii="Times New Roman" w:hAnsi="Times New Roman" w:cs="Times New Roman"/>
        </w:rPr>
        <w:tab/>
      </w:r>
      <w:r w:rsidRPr="00BD7B22">
        <w:rPr>
          <w:rFonts w:ascii="Times New Roman" w:hAnsi="Times New Roman" w:cs="Times New Roman"/>
        </w:rPr>
        <w:t>After collecting each swab, I immediately placed it in sterile transport media to preserve bacterial viability.</w:t>
      </w:r>
    </w:p>
    <w:p w:rsidR="00AF586B" w:rsidRPr="00BD7B22"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12. </w:t>
      </w:r>
      <w:r>
        <w:rPr>
          <w:rFonts w:ascii="Times New Roman" w:hAnsi="Times New Roman" w:cs="Times New Roman"/>
        </w:rPr>
        <w:tab/>
      </w:r>
      <w:r w:rsidRPr="00BD7B22">
        <w:rPr>
          <w:rFonts w:ascii="Times New Roman" w:hAnsi="Times New Roman" w:cs="Times New Roman"/>
        </w:rPr>
        <w:t>We transported the samples to the microbiology laboratory within 2 hours of collection for processing.</w:t>
      </w:r>
    </w:p>
    <w:p w:rsidR="00AF586B" w:rsidRDefault="00AF586B" w:rsidP="00AF586B">
      <w:pPr>
        <w:spacing w:after="0" w:line="240" w:lineRule="auto"/>
        <w:ind w:left="360" w:hanging="360"/>
        <w:jc w:val="both"/>
        <w:rPr>
          <w:rFonts w:ascii="Times New Roman" w:hAnsi="Times New Roman" w:cs="Times New Roman"/>
        </w:rPr>
      </w:pPr>
      <w:r w:rsidRPr="00BD7B22">
        <w:rPr>
          <w:rFonts w:ascii="Times New Roman" w:hAnsi="Times New Roman" w:cs="Times New Roman"/>
        </w:rPr>
        <w:t xml:space="preserve">13. </w:t>
      </w:r>
      <w:r>
        <w:rPr>
          <w:rFonts w:ascii="Times New Roman" w:hAnsi="Times New Roman" w:cs="Times New Roman"/>
        </w:rPr>
        <w:tab/>
      </w:r>
      <w:r w:rsidRPr="00BD7B22">
        <w:rPr>
          <w:rFonts w:ascii="Times New Roman" w:hAnsi="Times New Roman" w:cs="Times New Roman"/>
        </w:rPr>
        <w:t>We disposed of all used swabs and materials in biohazard disposal bags according to hospital protocols for hazardous waste.</w:t>
      </w:r>
    </w:p>
    <w:p w:rsidR="00AF586B" w:rsidRPr="00BD7B22" w:rsidRDefault="00AF586B" w:rsidP="00AF586B">
      <w:pPr>
        <w:spacing w:after="0" w:line="240" w:lineRule="auto"/>
        <w:jc w:val="both"/>
        <w:rPr>
          <w:rFonts w:ascii="Times New Roman" w:hAnsi="Times New Roman" w:cs="Times New Roman"/>
          <w:b/>
          <w:bCs/>
        </w:rPr>
      </w:pPr>
      <w:r w:rsidRPr="00BD7B22">
        <w:rPr>
          <w:rFonts w:ascii="Times New Roman" w:hAnsi="Times New Roman" w:cs="Times New Roman"/>
          <w:b/>
          <w:bCs/>
        </w:rPr>
        <w:t>LABORATORY METHODS</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In the laboratory, I employed a series of systematic techniques to isolate, identify, and assess the antibiotic susceptibility of bacterial </w:t>
      </w:r>
      <w:r w:rsidRPr="00BD7B22">
        <w:rPr>
          <w:rFonts w:ascii="Times New Roman" w:hAnsi="Times New Roman" w:cs="Times New Roman"/>
        </w:rPr>
        <w:lastRenderedPageBreak/>
        <w:t>pathogens from wound swabs collected from burn patients. These methodologies are critical for understanding the microbial landscape associated with burn injuries and for guiding appropriate therapeutic interventions.</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1. Bacterial Isolation Techniques:</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Culture Methods: Upon receiving the collected wound swabs, I initiated bacterial isolation by streaking the swabs onto various culture media, including nutrient agar, blood agar, and </w:t>
      </w:r>
      <w:proofErr w:type="spellStart"/>
      <w:r w:rsidRPr="00BD7B22">
        <w:rPr>
          <w:rFonts w:ascii="Times New Roman" w:hAnsi="Times New Roman" w:cs="Times New Roman"/>
        </w:rPr>
        <w:t>MacConkey</w:t>
      </w:r>
      <w:proofErr w:type="spellEnd"/>
      <w:r w:rsidRPr="00BD7B22">
        <w:rPr>
          <w:rFonts w:ascii="Times New Roman" w:hAnsi="Times New Roman" w:cs="Times New Roman"/>
        </w:rPr>
        <w:t xml:space="preserve"> agar. Each media type was chosen to promote the growth of different bacterial species. For example, blood agar allows for the cultivation of both fastidious organisms and provides information on </w:t>
      </w:r>
      <w:proofErr w:type="spellStart"/>
      <w:r w:rsidRPr="00BD7B22">
        <w:rPr>
          <w:rFonts w:ascii="Times New Roman" w:hAnsi="Times New Roman" w:cs="Times New Roman"/>
        </w:rPr>
        <w:t>haemolytic</w:t>
      </w:r>
      <w:proofErr w:type="spellEnd"/>
      <w:r w:rsidRPr="00BD7B22">
        <w:rPr>
          <w:rFonts w:ascii="Times New Roman" w:hAnsi="Times New Roman" w:cs="Times New Roman"/>
        </w:rPr>
        <w:t xml:space="preserve"> activity, while </w:t>
      </w:r>
      <w:proofErr w:type="spellStart"/>
      <w:r w:rsidRPr="00BD7B22">
        <w:rPr>
          <w:rFonts w:ascii="Times New Roman" w:hAnsi="Times New Roman" w:cs="Times New Roman"/>
        </w:rPr>
        <w:t>MacConkey</w:t>
      </w:r>
      <w:proofErr w:type="spellEnd"/>
      <w:r w:rsidRPr="00BD7B22">
        <w:rPr>
          <w:rFonts w:ascii="Times New Roman" w:hAnsi="Times New Roman" w:cs="Times New Roman"/>
        </w:rPr>
        <w:t xml:space="preserve"> agar selectively isolates Gram-negative bacteria, particularly </w:t>
      </w:r>
      <w:proofErr w:type="spellStart"/>
      <w:r w:rsidRPr="00BD7B22">
        <w:rPr>
          <w:rFonts w:ascii="Times New Roman" w:hAnsi="Times New Roman" w:cs="Times New Roman"/>
        </w:rPr>
        <w:t>Enterobacteriaceae</w:t>
      </w:r>
      <w:proofErr w:type="spellEnd"/>
      <w:r w:rsidRPr="00BD7B22">
        <w:rPr>
          <w:rFonts w:ascii="Times New Roman" w:hAnsi="Times New Roman" w:cs="Times New Roman"/>
        </w:rPr>
        <w:t>.</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Incubation Conditions: I incubated the inoculated plates at 35-37°C for 24-48 hours in an aerobic environment. After incubation, I examined the growth characteristics, colony morphology, and </w:t>
      </w:r>
      <w:proofErr w:type="spellStart"/>
      <w:r w:rsidRPr="00BD7B22">
        <w:rPr>
          <w:rFonts w:ascii="Times New Roman" w:hAnsi="Times New Roman" w:cs="Times New Roman"/>
        </w:rPr>
        <w:t>haemolytic</w:t>
      </w:r>
      <w:proofErr w:type="spellEnd"/>
      <w:r w:rsidRPr="00BD7B22">
        <w:rPr>
          <w:rFonts w:ascii="Times New Roman" w:hAnsi="Times New Roman" w:cs="Times New Roman"/>
        </w:rPr>
        <w:t xml:space="preserve"> patterns on blood agar, which facilitated preliminary identification of bacterial species based on their colony appearance.</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Gram Staining: Following culture, I performed Gram staining on representative colonies to differentiate between Gram-positive and Gram-negative bacteria. This staining procedure involves applying crystal violet, iodine, </w:t>
      </w:r>
      <w:proofErr w:type="spellStart"/>
      <w:r w:rsidRPr="00BD7B22">
        <w:rPr>
          <w:rFonts w:ascii="Times New Roman" w:hAnsi="Times New Roman" w:cs="Times New Roman"/>
        </w:rPr>
        <w:t>decolourizer</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safranin</w:t>
      </w:r>
      <w:proofErr w:type="spellEnd"/>
      <w:r w:rsidRPr="00BD7B22">
        <w:rPr>
          <w:rFonts w:ascii="Times New Roman" w:hAnsi="Times New Roman" w:cs="Times New Roman"/>
        </w:rPr>
        <w:t xml:space="preserve"> to the bacterial smear. The resulting </w:t>
      </w:r>
      <w:proofErr w:type="spellStart"/>
      <w:r w:rsidRPr="00BD7B22">
        <w:rPr>
          <w:rFonts w:ascii="Times New Roman" w:hAnsi="Times New Roman" w:cs="Times New Roman"/>
        </w:rPr>
        <w:t>colour</w:t>
      </w:r>
      <w:proofErr w:type="spellEnd"/>
      <w:r w:rsidRPr="00BD7B22">
        <w:rPr>
          <w:rFonts w:ascii="Times New Roman" w:hAnsi="Times New Roman" w:cs="Times New Roman"/>
        </w:rPr>
        <w:t xml:space="preserve"> of the cells (purple for Gram-positive and pink for Gram-negative) provided critical information for subsequent identification.</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2. Bacterial Identification Using Biochemical Tests:</w:t>
      </w:r>
    </w:p>
    <w:p w:rsidR="00AF586B" w:rsidRPr="00BD7B22" w:rsidRDefault="00AF586B" w:rsidP="00AF586B">
      <w:pPr>
        <w:spacing w:after="0" w:line="240" w:lineRule="auto"/>
        <w:jc w:val="both"/>
        <w:rPr>
          <w:rFonts w:ascii="Times New Roman" w:hAnsi="Times New Roman" w:cs="Times New Roman"/>
        </w:rPr>
      </w:pPr>
      <w:proofErr w:type="spellStart"/>
      <w:r w:rsidRPr="00BD7B22">
        <w:rPr>
          <w:rFonts w:ascii="Times New Roman" w:hAnsi="Times New Roman" w:cs="Times New Roman"/>
        </w:rPr>
        <w:t>Catalase</w:t>
      </w:r>
      <w:proofErr w:type="spellEnd"/>
      <w:r w:rsidRPr="00BD7B22">
        <w:rPr>
          <w:rFonts w:ascii="Times New Roman" w:hAnsi="Times New Roman" w:cs="Times New Roman"/>
        </w:rPr>
        <w:t xml:space="preserve"> Test: For identifying Staphylococcus species, I performed the </w:t>
      </w:r>
      <w:proofErr w:type="spellStart"/>
      <w:r w:rsidRPr="00BD7B22">
        <w:rPr>
          <w:rFonts w:ascii="Times New Roman" w:hAnsi="Times New Roman" w:cs="Times New Roman"/>
        </w:rPr>
        <w:t>catalase</w:t>
      </w:r>
      <w:proofErr w:type="spellEnd"/>
      <w:r w:rsidRPr="00BD7B22">
        <w:rPr>
          <w:rFonts w:ascii="Times New Roman" w:hAnsi="Times New Roman" w:cs="Times New Roman"/>
        </w:rPr>
        <w:t xml:space="preserve"> test by placing a small amount of bacterial colony onto a slide and adding a drop of hydrogen peroxide. A positive result, indicated by bubbling (release of oxygen), confirmed the presence of </w:t>
      </w:r>
      <w:proofErr w:type="spellStart"/>
      <w:r w:rsidRPr="00BD7B22">
        <w:rPr>
          <w:rFonts w:ascii="Times New Roman" w:hAnsi="Times New Roman" w:cs="Times New Roman"/>
        </w:rPr>
        <w:t>catalase</w:t>
      </w:r>
      <w:proofErr w:type="spellEnd"/>
      <w:r w:rsidRPr="00BD7B22">
        <w:rPr>
          <w:rFonts w:ascii="Times New Roman" w:hAnsi="Times New Roman" w:cs="Times New Roman"/>
        </w:rPr>
        <w:t>, which is characteristic of Staphylococcus species.</w:t>
      </w:r>
    </w:p>
    <w:p w:rsidR="00AF586B" w:rsidRPr="00BD7B22" w:rsidRDefault="00AF586B" w:rsidP="00AF586B">
      <w:pPr>
        <w:spacing w:after="0" w:line="240" w:lineRule="auto"/>
        <w:jc w:val="both"/>
        <w:rPr>
          <w:rFonts w:ascii="Times New Roman" w:hAnsi="Times New Roman" w:cs="Times New Roman"/>
        </w:rPr>
      </w:pPr>
      <w:proofErr w:type="spellStart"/>
      <w:r w:rsidRPr="00BD7B22">
        <w:rPr>
          <w:rFonts w:ascii="Times New Roman" w:hAnsi="Times New Roman" w:cs="Times New Roman"/>
        </w:rPr>
        <w:t>Coagulase</w:t>
      </w:r>
      <w:proofErr w:type="spellEnd"/>
      <w:r w:rsidRPr="00BD7B22">
        <w:rPr>
          <w:rFonts w:ascii="Times New Roman" w:hAnsi="Times New Roman" w:cs="Times New Roman"/>
        </w:rPr>
        <w:t xml:space="preserve"> Test: To differentiate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from other </w:t>
      </w:r>
      <w:proofErr w:type="spellStart"/>
      <w:r w:rsidRPr="00BD7B22">
        <w:rPr>
          <w:rFonts w:ascii="Times New Roman" w:hAnsi="Times New Roman" w:cs="Times New Roman"/>
        </w:rPr>
        <w:t>coagulase</w:t>
      </w:r>
      <w:proofErr w:type="spellEnd"/>
      <w:r w:rsidRPr="00BD7B22">
        <w:rPr>
          <w:rFonts w:ascii="Times New Roman" w:hAnsi="Times New Roman" w:cs="Times New Roman"/>
        </w:rPr>
        <w:t xml:space="preserve">-negative staphylococci, I conducted the </w:t>
      </w:r>
      <w:proofErr w:type="spellStart"/>
      <w:r w:rsidRPr="00BD7B22">
        <w:rPr>
          <w:rFonts w:ascii="Times New Roman" w:hAnsi="Times New Roman" w:cs="Times New Roman"/>
        </w:rPr>
        <w:t>coagulase</w:t>
      </w:r>
      <w:proofErr w:type="spellEnd"/>
      <w:r w:rsidRPr="00BD7B22">
        <w:rPr>
          <w:rFonts w:ascii="Times New Roman" w:hAnsi="Times New Roman" w:cs="Times New Roman"/>
        </w:rPr>
        <w:t xml:space="preserve"> test. I mixed the bacterial culture with rabbit plasma and incubated it at 37°C. The formation of a clot </w:t>
      </w:r>
      <w:r w:rsidRPr="00BD7B22">
        <w:rPr>
          <w:rFonts w:ascii="Times New Roman" w:hAnsi="Times New Roman" w:cs="Times New Roman"/>
        </w:rPr>
        <w:lastRenderedPageBreak/>
        <w:t xml:space="preserve">within a few hours indicated a positive result, confirming the presence of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w:t>
      </w:r>
    </w:p>
    <w:p w:rsidR="00AF586B" w:rsidRPr="00BD7B22" w:rsidRDefault="00AF586B" w:rsidP="00AF586B">
      <w:pPr>
        <w:spacing w:after="0" w:line="240" w:lineRule="auto"/>
        <w:jc w:val="both"/>
        <w:rPr>
          <w:rFonts w:ascii="Times New Roman" w:hAnsi="Times New Roman" w:cs="Times New Roman"/>
        </w:rPr>
      </w:pPr>
      <w:proofErr w:type="spellStart"/>
      <w:r w:rsidRPr="00BD7B22">
        <w:rPr>
          <w:rFonts w:ascii="Times New Roman" w:hAnsi="Times New Roman" w:cs="Times New Roman"/>
        </w:rPr>
        <w:t>Oxidase</w:t>
      </w:r>
      <w:proofErr w:type="spellEnd"/>
      <w:r w:rsidRPr="00BD7B22">
        <w:rPr>
          <w:rFonts w:ascii="Times New Roman" w:hAnsi="Times New Roman" w:cs="Times New Roman"/>
        </w:rPr>
        <w:t xml:space="preserve"> Test: For the identification of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I performed the </w:t>
      </w:r>
      <w:proofErr w:type="spellStart"/>
      <w:r w:rsidRPr="00BD7B22">
        <w:rPr>
          <w:rFonts w:ascii="Times New Roman" w:hAnsi="Times New Roman" w:cs="Times New Roman"/>
        </w:rPr>
        <w:t>oxidase</w:t>
      </w:r>
      <w:proofErr w:type="spellEnd"/>
      <w:r w:rsidRPr="00BD7B22">
        <w:rPr>
          <w:rFonts w:ascii="Times New Roman" w:hAnsi="Times New Roman" w:cs="Times New Roman"/>
        </w:rPr>
        <w:t xml:space="preserve"> test. I applied the </w:t>
      </w:r>
      <w:proofErr w:type="spellStart"/>
      <w:r w:rsidRPr="00BD7B22">
        <w:rPr>
          <w:rFonts w:ascii="Times New Roman" w:hAnsi="Times New Roman" w:cs="Times New Roman"/>
        </w:rPr>
        <w:t>oxidase</w:t>
      </w:r>
      <w:proofErr w:type="spellEnd"/>
      <w:r w:rsidRPr="00BD7B22">
        <w:rPr>
          <w:rFonts w:ascii="Times New Roman" w:hAnsi="Times New Roman" w:cs="Times New Roman"/>
        </w:rPr>
        <w:t xml:space="preserve"> reagent to a bacterial colony on a filter paper, observing for a </w:t>
      </w:r>
      <w:proofErr w:type="spellStart"/>
      <w:r w:rsidRPr="00BD7B22">
        <w:rPr>
          <w:rFonts w:ascii="Times New Roman" w:hAnsi="Times New Roman" w:cs="Times New Roman"/>
        </w:rPr>
        <w:t>colour</w:t>
      </w:r>
      <w:proofErr w:type="spellEnd"/>
      <w:r w:rsidRPr="00BD7B22">
        <w:rPr>
          <w:rFonts w:ascii="Times New Roman" w:hAnsi="Times New Roman" w:cs="Times New Roman"/>
        </w:rPr>
        <w:t xml:space="preserve"> change. A positive result, indicated by a dark blue </w:t>
      </w:r>
      <w:proofErr w:type="spellStart"/>
      <w:r w:rsidRPr="00BD7B22">
        <w:rPr>
          <w:rFonts w:ascii="Times New Roman" w:hAnsi="Times New Roman" w:cs="Times New Roman"/>
        </w:rPr>
        <w:t>colour</w:t>
      </w:r>
      <w:proofErr w:type="spellEnd"/>
      <w:r w:rsidRPr="00BD7B22">
        <w:rPr>
          <w:rFonts w:ascii="Times New Roman" w:hAnsi="Times New Roman" w:cs="Times New Roman"/>
        </w:rPr>
        <w:t xml:space="preserve"> within seconds, confirmed the presence of the organism, which is known for its </w:t>
      </w:r>
      <w:proofErr w:type="spellStart"/>
      <w:r w:rsidRPr="00BD7B22">
        <w:rPr>
          <w:rFonts w:ascii="Times New Roman" w:hAnsi="Times New Roman" w:cs="Times New Roman"/>
        </w:rPr>
        <w:t>oxidase</w:t>
      </w:r>
      <w:proofErr w:type="spellEnd"/>
      <w:r w:rsidRPr="00BD7B22">
        <w:rPr>
          <w:rFonts w:ascii="Times New Roman" w:hAnsi="Times New Roman" w:cs="Times New Roman"/>
        </w:rPr>
        <w:t xml:space="preserve"> activity.</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3. Antibiotic Susceptibility Testing:</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   Kirby-Bauer Disk Diffusion Method: To evaluate the antibiotic susceptibility of the isolated bacterial strains, I utilized the Kirby-Bauer disk diffusion method. I prepared Mueller-Hinton agar plates and inoculated them with the respective bacterial cultures to create a uniform lawn of growth.</w:t>
      </w:r>
    </w:p>
    <w:p w:rsidR="00AF586B" w:rsidRPr="00BD7B22"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   Antibiotic Disks: After allowing the plates to dry, I placed standardized antibiotic-impregnated disks onto the surface of the agar using sterile forceps. The antibiotics tested included penicillin, </w:t>
      </w:r>
      <w:proofErr w:type="spellStart"/>
      <w:r w:rsidRPr="00BD7B22">
        <w:rPr>
          <w:rFonts w:ascii="Times New Roman" w:hAnsi="Times New Roman" w:cs="Times New Roman"/>
        </w:rPr>
        <w:t>vancomycin</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cephalosporins</w:t>
      </w:r>
      <w:proofErr w:type="spellEnd"/>
      <w:r w:rsidRPr="00BD7B22">
        <w:rPr>
          <w:rFonts w:ascii="Times New Roman" w:hAnsi="Times New Roman" w:cs="Times New Roman"/>
        </w:rPr>
        <w:t xml:space="preserve"> (e.g., </w:t>
      </w:r>
      <w:proofErr w:type="spellStart"/>
      <w:r w:rsidRPr="00BD7B22">
        <w:rPr>
          <w:rFonts w:ascii="Times New Roman" w:hAnsi="Times New Roman" w:cs="Times New Roman"/>
        </w:rPr>
        <w:t>ceftriaxone</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ceftazidime</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carbapenems</w:t>
      </w:r>
      <w:proofErr w:type="spellEnd"/>
      <w:r w:rsidRPr="00BD7B22">
        <w:rPr>
          <w:rFonts w:ascii="Times New Roman" w:hAnsi="Times New Roman" w:cs="Times New Roman"/>
        </w:rPr>
        <w:t xml:space="preserve"> (e.g., </w:t>
      </w:r>
      <w:proofErr w:type="spellStart"/>
      <w:r w:rsidRPr="00BD7B22">
        <w:rPr>
          <w:rFonts w:ascii="Times New Roman" w:hAnsi="Times New Roman" w:cs="Times New Roman"/>
        </w:rPr>
        <w:t>imipenem</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meropenem</w:t>
      </w:r>
      <w:proofErr w:type="spellEnd"/>
      <w:r w:rsidRPr="00BD7B22">
        <w:rPr>
          <w:rFonts w:ascii="Times New Roman" w:hAnsi="Times New Roman" w:cs="Times New Roman"/>
        </w:rPr>
        <w:t xml:space="preserve">). </w:t>
      </w:r>
    </w:p>
    <w:p w:rsidR="00AF586B" w:rsidRDefault="00AF586B" w:rsidP="00AF586B">
      <w:pPr>
        <w:spacing w:after="0" w:line="240" w:lineRule="auto"/>
        <w:jc w:val="both"/>
        <w:rPr>
          <w:rFonts w:ascii="Times New Roman" w:hAnsi="Times New Roman" w:cs="Times New Roman"/>
        </w:rPr>
      </w:pPr>
      <w:r w:rsidRPr="00BD7B22">
        <w:rPr>
          <w:rFonts w:ascii="Times New Roman" w:hAnsi="Times New Roman" w:cs="Times New Roman"/>
        </w:rPr>
        <w:t xml:space="preserve">   Incubation and Measurement: I incubated the plates at 35-37°C for 18-24 hours. After incubation, I measured the zones of inhibition around each disk using a </w:t>
      </w:r>
      <w:proofErr w:type="spellStart"/>
      <w:r w:rsidRPr="00BD7B22">
        <w:rPr>
          <w:rFonts w:ascii="Times New Roman" w:hAnsi="Times New Roman" w:cs="Times New Roman"/>
        </w:rPr>
        <w:t>calliper</w:t>
      </w:r>
      <w:proofErr w:type="spellEnd"/>
      <w:r w:rsidRPr="00BD7B22">
        <w:rPr>
          <w:rFonts w:ascii="Times New Roman" w:hAnsi="Times New Roman" w:cs="Times New Roman"/>
        </w:rPr>
        <w:t xml:space="preserve"> to assess the effectiveness of each antibiotic against the bacterial isolates. The results were interpreted based on established clinical breakpoints, categorizing the bacteria as susceptible, intermediate, or resistant.</w:t>
      </w:r>
    </w:p>
    <w:p w:rsidR="009C4BBA" w:rsidRPr="00A4375E" w:rsidRDefault="009C4BBA" w:rsidP="009C4BBA">
      <w:pPr>
        <w:spacing w:after="0" w:line="240" w:lineRule="auto"/>
        <w:jc w:val="both"/>
        <w:rPr>
          <w:rFonts w:ascii="Times New Roman" w:eastAsia="+mn-ea" w:hAnsi="Times New Roman" w:cs="Times New Roman"/>
          <w:sz w:val="20"/>
          <w:szCs w:val="20"/>
        </w:rPr>
      </w:pPr>
    </w:p>
    <w:p w:rsidR="002E3022" w:rsidRPr="00BD7B22" w:rsidRDefault="002E3022" w:rsidP="002E3022">
      <w:pPr>
        <w:spacing w:after="0" w:line="240" w:lineRule="auto"/>
        <w:jc w:val="both"/>
        <w:rPr>
          <w:rFonts w:ascii="Times New Roman" w:hAnsi="Times New Roman" w:cs="Times New Roman"/>
          <w:b/>
          <w:bCs/>
        </w:rPr>
      </w:pPr>
      <w:r w:rsidRPr="00BD7B22">
        <w:rPr>
          <w:rFonts w:ascii="Times New Roman" w:hAnsi="Times New Roman" w:cs="Times New Roman"/>
          <w:b/>
          <w:bCs/>
        </w:rPr>
        <w:t>STATISTICAL ANALYSIS</w:t>
      </w:r>
    </w:p>
    <w:p w:rsidR="002E3022" w:rsidRDefault="002E3022" w:rsidP="002E3022">
      <w:pPr>
        <w:spacing w:after="0" w:line="240" w:lineRule="auto"/>
        <w:jc w:val="both"/>
        <w:rPr>
          <w:rFonts w:ascii="Times New Roman" w:hAnsi="Times New Roman" w:cs="Times New Roman"/>
        </w:rPr>
      </w:pPr>
      <w:r w:rsidRPr="00BD7B22">
        <w:rPr>
          <w:rFonts w:ascii="Times New Roman" w:hAnsi="Times New Roman" w:cs="Times New Roman"/>
        </w:rPr>
        <w:t xml:space="preserve">For the data analysis in my study on burn wound infections, I utilized the Statistical Package for the Social Sciences (SPSS) software to ensure robust results. Descriptive statistics summarized demographic and clinical characteristics, including means, standard deviations, and frequency distributions, which are essential for understanding the sample's overall </w:t>
      </w:r>
      <w:r>
        <w:rPr>
          <w:rFonts w:ascii="Times New Roman" w:hAnsi="Times New Roman" w:cs="Times New Roman"/>
        </w:rPr>
        <w:t xml:space="preserve">[4]. </w:t>
      </w:r>
      <w:r w:rsidRPr="00BD7B22">
        <w:rPr>
          <w:rFonts w:ascii="Times New Roman" w:hAnsi="Times New Roman" w:cs="Times New Roman"/>
        </w:rPr>
        <w:t xml:space="preserve"> I applied the chi-square test to evaluate associations between categorical variables, such as infection rates across age categories and burn severity levels </w:t>
      </w:r>
      <w:r>
        <w:rPr>
          <w:rFonts w:ascii="Times New Roman" w:hAnsi="Times New Roman" w:cs="Times New Roman"/>
        </w:rPr>
        <w:t>[5].</w:t>
      </w:r>
      <w:r w:rsidRPr="00BD7B22">
        <w:rPr>
          <w:rFonts w:ascii="Times New Roman" w:hAnsi="Times New Roman" w:cs="Times New Roman"/>
        </w:rPr>
        <w:t xml:space="preserve"> Additionally, logistic regression was utilized to assess the impact of risk factors, including </w:t>
      </w:r>
      <w:proofErr w:type="spellStart"/>
      <w:r w:rsidRPr="00BD7B22">
        <w:rPr>
          <w:rFonts w:ascii="Times New Roman" w:hAnsi="Times New Roman" w:cs="Times New Roman"/>
        </w:rPr>
        <w:t>comorbidities</w:t>
      </w:r>
      <w:proofErr w:type="spellEnd"/>
      <w:r w:rsidRPr="00BD7B22">
        <w:rPr>
          <w:rFonts w:ascii="Times New Roman" w:hAnsi="Times New Roman" w:cs="Times New Roman"/>
        </w:rPr>
        <w:t xml:space="preserve"> and nutritional status, </w:t>
      </w:r>
      <w:r w:rsidRPr="00BD7B22">
        <w:rPr>
          <w:rFonts w:ascii="Times New Roman" w:hAnsi="Times New Roman" w:cs="Times New Roman"/>
        </w:rPr>
        <w:lastRenderedPageBreak/>
        <w:t xml:space="preserve">on infection likelihood, as this method is effective for modeling binary outcomes </w:t>
      </w:r>
      <w:r>
        <w:rPr>
          <w:rFonts w:ascii="Times New Roman" w:hAnsi="Times New Roman" w:cs="Times New Roman"/>
        </w:rPr>
        <w:t xml:space="preserve">[6]. </w:t>
      </w:r>
      <w:r w:rsidRPr="00BD7B22">
        <w:rPr>
          <w:rFonts w:ascii="Times New Roman" w:hAnsi="Times New Roman" w:cs="Times New Roman"/>
        </w:rPr>
        <w:t>A significance level of p &lt; 0.05 was set for all tests, allowing me to draw valid conclusions and contribute insights into the factors influencing burn wound infections.</w:t>
      </w:r>
    </w:p>
    <w:p w:rsidR="002E3022" w:rsidRPr="00BD7B22" w:rsidRDefault="002E3022" w:rsidP="002E3022">
      <w:pPr>
        <w:spacing w:after="0" w:line="240" w:lineRule="auto"/>
        <w:jc w:val="both"/>
        <w:rPr>
          <w:rFonts w:ascii="Times New Roman" w:hAnsi="Times New Roman" w:cs="Times New Roman"/>
        </w:rPr>
      </w:pPr>
    </w:p>
    <w:p w:rsidR="003F7782" w:rsidRPr="00BD7B22" w:rsidRDefault="003F7782" w:rsidP="003F7782">
      <w:pPr>
        <w:spacing w:after="0" w:line="240" w:lineRule="auto"/>
        <w:rPr>
          <w:rFonts w:ascii="Times New Roman" w:hAnsi="Times New Roman" w:cs="Times New Roman"/>
          <w:b/>
        </w:rPr>
      </w:pPr>
      <w:r w:rsidRPr="00BD7B22">
        <w:rPr>
          <w:rFonts w:ascii="Times New Roman" w:hAnsi="Times New Roman" w:cs="Times New Roman"/>
          <w:b/>
        </w:rPr>
        <w:t>RESULTS</w:t>
      </w:r>
      <w:bookmarkStart w:id="1" w:name="_Hlk184099851"/>
    </w:p>
    <w:p w:rsidR="003F7782" w:rsidRPr="00BD7B22" w:rsidRDefault="003F7782" w:rsidP="003F7782">
      <w:pPr>
        <w:spacing w:after="0" w:line="240" w:lineRule="auto"/>
        <w:rPr>
          <w:rFonts w:ascii="Times New Roman" w:hAnsi="Times New Roman" w:cs="Times New Roman"/>
          <w:b/>
        </w:rPr>
      </w:pPr>
      <w:r w:rsidRPr="00BD7B22">
        <w:rPr>
          <w:rFonts w:ascii="Times New Roman" w:hAnsi="Times New Roman" w:cs="Times New Roman"/>
          <w:b/>
        </w:rPr>
        <w:t xml:space="preserve">4.1 Table 1: Prevalence of identified bacteria species in burn wounds </w:t>
      </w:r>
    </w:p>
    <w:tbl>
      <w:tblPr>
        <w:tblStyle w:val="TableGrid"/>
        <w:tblW w:w="3423" w:type="dxa"/>
        <w:jc w:val="center"/>
        <w:tblBorders>
          <w:left w:val="none" w:sz="0" w:space="0" w:color="auto"/>
          <w:right w:val="none" w:sz="0" w:space="0" w:color="auto"/>
          <w:insideH w:val="none" w:sz="0" w:space="0" w:color="auto"/>
          <w:insideV w:val="none" w:sz="0" w:space="0" w:color="auto"/>
        </w:tblBorders>
        <w:tblLook w:val="04A0"/>
      </w:tblPr>
      <w:tblGrid>
        <w:gridCol w:w="1733"/>
        <w:gridCol w:w="1026"/>
        <w:gridCol w:w="664"/>
      </w:tblGrid>
      <w:tr w:rsidR="003F7782" w:rsidRPr="00BD7B22" w:rsidTr="003F7782">
        <w:trPr>
          <w:trHeight w:val="457"/>
          <w:jc w:val="center"/>
        </w:trPr>
        <w:tc>
          <w:tcPr>
            <w:tcW w:w="1264" w:type="dxa"/>
            <w:vMerge w:val="restart"/>
            <w:tcBorders>
              <w:top w:val="single" w:sz="4" w:space="0" w:color="auto"/>
              <w:bottom w:val="nil"/>
            </w:tcBorders>
          </w:tcPr>
          <w:p w:rsidR="003F7782" w:rsidRPr="00BD7B22" w:rsidRDefault="003F7782" w:rsidP="003F7782">
            <w:pPr>
              <w:spacing w:after="0" w:line="240" w:lineRule="auto"/>
              <w:rPr>
                <w:rFonts w:ascii="Times New Roman" w:hAnsi="Times New Roman" w:cs="Times New Roman"/>
                <w:b/>
                <w:bCs/>
              </w:rPr>
            </w:pPr>
            <w:bookmarkStart w:id="2" w:name="_Hlk180289843"/>
            <w:bookmarkEnd w:id="1"/>
          </w:p>
        </w:tc>
        <w:tc>
          <w:tcPr>
            <w:tcW w:w="2159" w:type="dxa"/>
            <w:gridSpan w:val="2"/>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Prevalence</w:t>
            </w:r>
          </w:p>
        </w:tc>
      </w:tr>
      <w:tr w:rsidR="003F7782" w:rsidRPr="00BD7B22" w:rsidTr="003F7782">
        <w:trPr>
          <w:trHeight w:val="464"/>
          <w:jc w:val="center"/>
        </w:trPr>
        <w:tc>
          <w:tcPr>
            <w:tcW w:w="1264" w:type="dxa"/>
            <w:vMerge/>
            <w:tcBorders>
              <w:top w:val="nil"/>
              <w:bottom w:val="single" w:sz="4" w:space="0" w:color="auto"/>
            </w:tcBorders>
            <w:vAlign w:val="center"/>
          </w:tcPr>
          <w:p w:rsidR="003F7782" w:rsidRPr="00BD7B22" w:rsidRDefault="003F7782" w:rsidP="003F7782">
            <w:pPr>
              <w:spacing w:after="0" w:line="240" w:lineRule="auto"/>
              <w:rPr>
                <w:rFonts w:ascii="Times New Roman" w:hAnsi="Times New Roman" w:cs="Times New Roman"/>
                <w:b/>
                <w:bCs/>
              </w:rPr>
            </w:pPr>
          </w:p>
        </w:tc>
        <w:tc>
          <w:tcPr>
            <w:tcW w:w="1486" w:type="dxa"/>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N</w:t>
            </w:r>
          </w:p>
        </w:tc>
        <w:tc>
          <w:tcPr>
            <w:tcW w:w="673" w:type="dxa"/>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w:t>
            </w:r>
          </w:p>
        </w:tc>
      </w:tr>
      <w:tr w:rsidR="003F7782" w:rsidRPr="00BD7B22" w:rsidTr="003F7782">
        <w:trPr>
          <w:trHeight w:val="359"/>
          <w:jc w:val="center"/>
        </w:trPr>
        <w:tc>
          <w:tcPr>
            <w:tcW w:w="1264" w:type="dxa"/>
            <w:tcBorders>
              <w:top w:val="single" w:sz="4" w:space="0" w:color="auto"/>
              <w:bottom w:val="nil"/>
            </w:tcBorders>
          </w:tcPr>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rPr>
              <w:t>No bacterial growth</w:t>
            </w:r>
          </w:p>
        </w:tc>
        <w:tc>
          <w:tcPr>
            <w:tcW w:w="1486" w:type="dxa"/>
            <w:tcBorders>
              <w:top w:val="single" w:sz="4" w:space="0" w:color="auto"/>
              <w:bottom w:val="nil"/>
            </w:tcBorders>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17</w:t>
            </w:r>
          </w:p>
        </w:tc>
        <w:tc>
          <w:tcPr>
            <w:tcW w:w="673" w:type="dxa"/>
            <w:tcBorders>
              <w:top w:val="single" w:sz="4" w:space="0" w:color="auto"/>
              <w:bottom w:val="nil"/>
            </w:tcBorders>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17.0</w:t>
            </w:r>
          </w:p>
        </w:tc>
      </w:tr>
      <w:tr w:rsidR="003F7782" w:rsidRPr="00BD7B22" w:rsidTr="003F7782">
        <w:trPr>
          <w:trHeight w:val="254"/>
          <w:jc w:val="center"/>
        </w:trPr>
        <w:tc>
          <w:tcPr>
            <w:tcW w:w="1264" w:type="dxa"/>
            <w:tcBorders>
              <w:top w:val="nil"/>
            </w:tcBorders>
          </w:tcPr>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rPr>
              <w:t xml:space="preserve">Bacteria Growth </w:t>
            </w:r>
          </w:p>
        </w:tc>
        <w:tc>
          <w:tcPr>
            <w:tcW w:w="1486" w:type="dxa"/>
            <w:tcBorders>
              <w:top w:val="nil"/>
            </w:tcBorders>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83</w:t>
            </w:r>
          </w:p>
        </w:tc>
        <w:tc>
          <w:tcPr>
            <w:tcW w:w="673" w:type="dxa"/>
            <w:tcBorders>
              <w:top w:val="nil"/>
            </w:tcBorders>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83.0</w:t>
            </w:r>
          </w:p>
        </w:tc>
      </w:tr>
      <w:tr w:rsidR="003F7782" w:rsidRPr="00BD7B22" w:rsidTr="003F7782">
        <w:trPr>
          <w:trHeight w:val="526"/>
          <w:jc w:val="center"/>
        </w:trPr>
        <w:tc>
          <w:tcPr>
            <w:tcW w:w="1264" w:type="dxa"/>
          </w:tcPr>
          <w:p w:rsidR="003F7782" w:rsidRPr="00BD7B22" w:rsidRDefault="003F7782" w:rsidP="003F7782">
            <w:pPr>
              <w:spacing w:after="0" w:line="240" w:lineRule="auto"/>
              <w:rPr>
                <w:rFonts w:ascii="Times New Roman" w:hAnsi="Times New Roman" w:cs="Times New Roman"/>
                <w:i/>
                <w:iCs/>
              </w:rPr>
            </w:pPr>
            <w:r w:rsidRPr="00BD7B22">
              <w:rPr>
                <w:rFonts w:ascii="Times New Roman" w:hAnsi="Times New Roman" w:cs="Times New Roman"/>
                <w:i/>
                <w:iCs/>
              </w:rPr>
              <w:t xml:space="preserve">Staphylococcus </w:t>
            </w:r>
            <w:proofErr w:type="spellStart"/>
            <w:r w:rsidRPr="00BD7B22">
              <w:rPr>
                <w:rFonts w:ascii="Times New Roman" w:hAnsi="Times New Roman" w:cs="Times New Roman"/>
                <w:i/>
                <w:iCs/>
              </w:rPr>
              <w:t>aureus</w:t>
            </w:r>
            <w:proofErr w:type="spellEnd"/>
          </w:p>
          <w:p w:rsidR="003F7782" w:rsidRPr="00BD7B22" w:rsidRDefault="003F7782" w:rsidP="003F7782">
            <w:pPr>
              <w:spacing w:after="0" w:line="240" w:lineRule="auto"/>
              <w:ind w:left="179"/>
              <w:rPr>
                <w:rFonts w:ascii="Times New Roman" w:hAnsi="Times New Roman" w:cs="Times New Roman"/>
                <w:i/>
                <w:iCs/>
              </w:rPr>
            </w:pPr>
            <w:r w:rsidRPr="00BD7B22">
              <w:rPr>
                <w:rFonts w:ascii="Times New Roman" w:hAnsi="Times New Roman" w:cs="Times New Roman"/>
                <w:i/>
                <w:iCs/>
              </w:rPr>
              <w:t>Escherichia coli</w:t>
            </w:r>
          </w:p>
          <w:p w:rsidR="003F7782" w:rsidRPr="00BD7B22" w:rsidRDefault="003F7782" w:rsidP="003F7782">
            <w:pPr>
              <w:spacing w:after="0" w:line="240" w:lineRule="auto"/>
              <w:ind w:left="179"/>
              <w:rPr>
                <w:rFonts w:ascii="Times New Roman" w:hAnsi="Times New Roman" w:cs="Times New Roman"/>
              </w:rPr>
            </w:pPr>
            <w:r w:rsidRPr="00BD7B22">
              <w:rPr>
                <w:rFonts w:ascii="Times New Roman" w:hAnsi="Times New Roman" w:cs="Times New Roman"/>
                <w:i/>
                <w:iCs/>
              </w:rPr>
              <w:t xml:space="preserve">Proteus mirabilis </w:t>
            </w:r>
          </w:p>
          <w:p w:rsidR="003F7782" w:rsidRPr="00BD7B22" w:rsidRDefault="003F7782" w:rsidP="003F7782">
            <w:pPr>
              <w:spacing w:after="0" w:line="240" w:lineRule="auto"/>
              <w:ind w:left="179"/>
              <w:rPr>
                <w:rFonts w:ascii="Times New Roman" w:hAnsi="Times New Roman" w:cs="Times New Roman"/>
              </w:rPr>
            </w:pPr>
            <w:proofErr w:type="spellStart"/>
            <w:r w:rsidRPr="00BD7B22">
              <w:rPr>
                <w:rFonts w:ascii="Times New Roman" w:hAnsi="Times New Roman" w:cs="Times New Roman"/>
                <w:i/>
                <w:iCs/>
              </w:rPr>
              <w:lastRenderedPageBreak/>
              <w:t>Klebsiella</w:t>
            </w:r>
            <w:proofErr w:type="spellEnd"/>
            <w:r w:rsidRPr="00BD7B22">
              <w:rPr>
                <w:rFonts w:ascii="Times New Roman" w:hAnsi="Times New Roman" w:cs="Times New Roman"/>
                <w:i/>
                <w:iCs/>
              </w:rPr>
              <w:t xml:space="preserve"> </w:t>
            </w:r>
            <w:proofErr w:type="spellStart"/>
            <w:r w:rsidRPr="00BD7B22">
              <w:rPr>
                <w:rFonts w:ascii="Times New Roman" w:hAnsi="Times New Roman" w:cs="Times New Roman"/>
                <w:i/>
                <w:iCs/>
              </w:rPr>
              <w:t>pneumoniae</w:t>
            </w:r>
            <w:proofErr w:type="spellEnd"/>
            <w:r w:rsidRPr="00BD7B22">
              <w:rPr>
                <w:rFonts w:ascii="Times New Roman" w:hAnsi="Times New Roman" w:cs="Times New Roman"/>
                <w:i/>
                <w:iCs/>
              </w:rPr>
              <w:t xml:space="preserve"> </w:t>
            </w:r>
          </w:p>
          <w:p w:rsidR="003F7782" w:rsidRPr="00BD7B22" w:rsidRDefault="003F7782" w:rsidP="003F7782">
            <w:pPr>
              <w:spacing w:after="0" w:line="240" w:lineRule="auto"/>
              <w:ind w:left="179"/>
              <w:rPr>
                <w:rFonts w:ascii="Times New Roman" w:hAnsi="Times New Roman" w:cs="Times New Roman"/>
              </w:rPr>
            </w:pPr>
            <w:r w:rsidRPr="00BD7B22">
              <w:rPr>
                <w:rFonts w:ascii="Times New Roman" w:hAnsi="Times New Roman" w:cs="Times New Roman"/>
                <w:i/>
                <w:iCs/>
              </w:rPr>
              <w:t xml:space="preserve">Pseudomonas </w:t>
            </w:r>
            <w:proofErr w:type="spellStart"/>
            <w:r w:rsidRPr="00BD7B22">
              <w:rPr>
                <w:rFonts w:ascii="Times New Roman" w:hAnsi="Times New Roman" w:cs="Times New Roman"/>
                <w:i/>
                <w:iCs/>
              </w:rPr>
              <w:t>aeruginosa</w:t>
            </w:r>
            <w:proofErr w:type="spellEnd"/>
          </w:p>
          <w:p w:rsidR="003F7782" w:rsidRPr="00BD7B22" w:rsidRDefault="003F7782" w:rsidP="003F7782">
            <w:pPr>
              <w:spacing w:after="0" w:line="240" w:lineRule="auto"/>
              <w:ind w:left="179"/>
              <w:rPr>
                <w:rFonts w:ascii="Times New Roman" w:hAnsi="Times New Roman" w:cs="Times New Roman"/>
                <w:i/>
                <w:iCs/>
              </w:rPr>
            </w:pPr>
            <w:r w:rsidRPr="00BD7B22">
              <w:rPr>
                <w:rFonts w:ascii="Times New Roman" w:hAnsi="Times New Roman" w:cs="Times New Roman"/>
                <w:i/>
                <w:iCs/>
              </w:rPr>
              <w:t xml:space="preserve">Streptococcus </w:t>
            </w:r>
            <w:proofErr w:type="spellStart"/>
            <w:r w:rsidRPr="00BD7B22">
              <w:rPr>
                <w:rFonts w:ascii="Times New Roman" w:hAnsi="Times New Roman" w:cs="Times New Roman"/>
                <w:i/>
                <w:iCs/>
              </w:rPr>
              <w:t>pneumoniae</w:t>
            </w:r>
            <w:proofErr w:type="spellEnd"/>
            <w:r w:rsidRPr="00BD7B22">
              <w:rPr>
                <w:rFonts w:ascii="Times New Roman" w:hAnsi="Times New Roman" w:cs="Times New Roman"/>
                <w:i/>
                <w:iCs/>
              </w:rPr>
              <w:t xml:space="preserve"> </w:t>
            </w:r>
          </w:p>
        </w:tc>
        <w:tc>
          <w:tcPr>
            <w:tcW w:w="1486"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45</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5</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3</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15</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11</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4</w:t>
            </w:r>
          </w:p>
        </w:tc>
        <w:tc>
          <w:tcPr>
            <w:tcW w:w="673"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54.2</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6.0</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3.6</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18.1</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13.3</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4.8</w:t>
            </w:r>
          </w:p>
        </w:tc>
      </w:tr>
      <w:bookmarkEnd w:id="2"/>
    </w:tbl>
    <w:p w:rsidR="003F7782" w:rsidRPr="00BD7B22" w:rsidRDefault="003F7782" w:rsidP="003F7782">
      <w:pPr>
        <w:spacing w:after="0" w:line="240" w:lineRule="auto"/>
        <w:rPr>
          <w:rFonts w:ascii="Times New Roman" w:hAnsi="Times New Roman" w:cs="Times New Roman"/>
        </w:rPr>
      </w:pPr>
    </w:p>
    <w:p w:rsidR="003F7782" w:rsidRPr="00BD7B22" w:rsidRDefault="003F7782" w:rsidP="003F7782">
      <w:pPr>
        <w:spacing w:after="0" w:line="240" w:lineRule="auto"/>
        <w:jc w:val="both"/>
        <w:rPr>
          <w:rFonts w:ascii="Times New Roman" w:hAnsi="Times New Roman" w:cs="Times New Roman"/>
        </w:rPr>
      </w:pPr>
      <w:r w:rsidRPr="00BD7B22">
        <w:rPr>
          <w:rFonts w:ascii="Times New Roman" w:hAnsi="Times New Roman" w:cs="Times New Roman"/>
        </w:rPr>
        <w:t xml:space="preserve">Table 1 </w:t>
      </w:r>
      <w:proofErr w:type="gramStart"/>
      <w:r w:rsidRPr="00BD7B22">
        <w:rPr>
          <w:rFonts w:ascii="Times New Roman" w:hAnsi="Times New Roman" w:cs="Times New Roman"/>
        </w:rPr>
        <w:t>shows</w:t>
      </w:r>
      <w:proofErr w:type="gramEnd"/>
      <w:r w:rsidRPr="00BD7B22">
        <w:rPr>
          <w:rFonts w:ascii="Times New Roman" w:hAnsi="Times New Roman" w:cs="Times New Roman"/>
        </w:rPr>
        <w:t xml:space="preserve"> that bacterial infections are prevalent in burn wounds, with 83% of the cases showing bacterial growth. Among the bacterial isolates,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was the most common (54.2%), followed by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(18.1%),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(13.3%), and less frequently, Escherichia coli (6.0%), Streptococcus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(4.8%), and Proteus mirabilis (3.6%). </w:t>
      </w:r>
    </w:p>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noProof/>
        </w:rPr>
        <w:drawing>
          <wp:inline distT="0" distB="0" distL="0" distR="0">
            <wp:extent cx="2996565" cy="1707614"/>
            <wp:effectExtent l="0" t="0" r="13335" b="6985"/>
            <wp:docPr id="873958699" name="Chart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72300D5-971C-3F77-BE82-1A2AE7EB4B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F7782" w:rsidRPr="009E2B1A" w:rsidRDefault="003F7782" w:rsidP="003F7782">
      <w:pPr>
        <w:spacing w:after="0" w:line="240" w:lineRule="auto"/>
        <w:rPr>
          <w:rFonts w:ascii="Times New Roman" w:hAnsi="Times New Roman" w:cs="Times New Roman"/>
          <w:bCs/>
        </w:rPr>
      </w:pPr>
      <w:bookmarkStart w:id="3" w:name="_Hlk184100287"/>
      <w:r w:rsidRPr="00BD7B22">
        <w:rPr>
          <w:rFonts w:ascii="Times New Roman" w:hAnsi="Times New Roman" w:cs="Times New Roman"/>
          <w:b/>
        </w:rPr>
        <w:t xml:space="preserve">Figure 2: </w:t>
      </w:r>
      <w:r w:rsidRPr="00BD7B22">
        <w:rPr>
          <w:rFonts w:ascii="Times New Roman" w:hAnsi="Times New Roman" w:cs="Times New Roman"/>
          <w:bCs/>
        </w:rPr>
        <w:t xml:space="preserve">Graphical representation of identified bacteria species in burn wounds </w:t>
      </w:r>
      <w:bookmarkStart w:id="4" w:name="_Hlk184099877"/>
      <w:bookmarkEnd w:id="3"/>
    </w:p>
    <w:p w:rsidR="003F7782" w:rsidRPr="00BD7B22" w:rsidRDefault="003F7782" w:rsidP="003F7782">
      <w:pPr>
        <w:spacing w:after="0" w:line="240" w:lineRule="auto"/>
        <w:rPr>
          <w:rFonts w:ascii="Times New Roman" w:hAnsi="Times New Roman" w:cs="Times New Roman"/>
          <w:b/>
        </w:rPr>
      </w:pPr>
      <w:r w:rsidRPr="00BD7B22">
        <w:rPr>
          <w:rFonts w:ascii="Times New Roman" w:hAnsi="Times New Roman" w:cs="Times New Roman"/>
          <w:b/>
        </w:rPr>
        <w:t xml:space="preserve">4.2 Table 2: </w:t>
      </w:r>
      <w:r w:rsidRPr="00BD7B22">
        <w:rPr>
          <w:rFonts w:ascii="Times New Roman" w:hAnsi="Times New Roman" w:cs="Times New Roman"/>
          <w:b/>
          <w:bCs/>
        </w:rPr>
        <w:t xml:space="preserve">Antibiotic susceptibility patterns </w:t>
      </w:r>
      <w:r w:rsidRPr="00BD7B22">
        <w:rPr>
          <w:rFonts w:ascii="Times New Roman" w:hAnsi="Times New Roman" w:cs="Times New Roman"/>
          <w:b/>
        </w:rPr>
        <w:t>of isolated bacteria from burn wounds</w:t>
      </w:r>
    </w:p>
    <w:tbl>
      <w:tblPr>
        <w:tblStyle w:val="TableGrid"/>
        <w:tblpPr w:leftFromText="180" w:rightFromText="180" w:vertAnchor="text" w:horzAnchor="margin" w:tblpY="4"/>
        <w:tblW w:w="4120" w:type="dxa"/>
        <w:tblBorders>
          <w:left w:val="none" w:sz="0" w:space="0" w:color="auto"/>
          <w:right w:val="none" w:sz="0" w:space="0" w:color="auto"/>
          <w:insideH w:val="none" w:sz="0" w:space="0" w:color="auto"/>
          <w:insideV w:val="none" w:sz="0" w:space="0" w:color="auto"/>
        </w:tblBorders>
        <w:tblLayout w:type="fixed"/>
        <w:tblLook w:val="04A0"/>
      </w:tblPr>
      <w:tblGrid>
        <w:gridCol w:w="1775"/>
        <w:gridCol w:w="1204"/>
        <w:gridCol w:w="1141"/>
      </w:tblGrid>
      <w:tr w:rsidR="003F7782" w:rsidRPr="00BD7B22" w:rsidTr="003F7782">
        <w:trPr>
          <w:trHeight w:val="362"/>
        </w:trPr>
        <w:tc>
          <w:tcPr>
            <w:tcW w:w="1775" w:type="dxa"/>
            <w:vMerge w:val="restart"/>
            <w:tcBorders>
              <w:top w:val="single" w:sz="4" w:space="0" w:color="auto"/>
              <w:bottom w:val="nil"/>
            </w:tcBorders>
          </w:tcPr>
          <w:p w:rsidR="003F7782" w:rsidRPr="00BD7B22" w:rsidRDefault="003F7782" w:rsidP="003F7782">
            <w:pPr>
              <w:spacing w:after="0" w:line="240" w:lineRule="auto"/>
              <w:rPr>
                <w:rFonts w:ascii="Times New Roman" w:hAnsi="Times New Roman" w:cs="Times New Roman"/>
                <w:b/>
                <w:bCs/>
              </w:rPr>
            </w:pPr>
            <w:bookmarkStart w:id="5" w:name="_Hlk179938849"/>
            <w:bookmarkEnd w:id="4"/>
          </w:p>
          <w:p w:rsidR="003F7782" w:rsidRPr="00BD7B22" w:rsidRDefault="003F7782" w:rsidP="003F7782">
            <w:pPr>
              <w:spacing w:after="0" w:line="240" w:lineRule="auto"/>
              <w:rPr>
                <w:rFonts w:ascii="Times New Roman" w:hAnsi="Times New Roman" w:cs="Times New Roman"/>
                <w:b/>
                <w:bCs/>
              </w:rPr>
            </w:pPr>
            <w:r w:rsidRPr="00BD7B22">
              <w:rPr>
                <w:rFonts w:ascii="Times New Roman" w:hAnsi="Times New Roman" w:cs="Times New Roman"/>
                <w:b/>
                <w:bCs/>
              </w:rPr>
              <w:t>Antibiotics</w:t>
            </w:r>
            <w:r w:rsidRPr="00BD7B22">
              <w:rPr>
                <w:rFonts w:ascii="Times New Roman" w:hAnsi="Times New Roman" w:cs="Times New Roman"/>
              </w:rPr>
              <w:tab/>
            </w:r>
          </w:p>
        </w:tc>
        <w:tc>
          <w:tcPr>
            <w:tcW w:w="2345" w:type="dxa"/>
            <w:gridSpan w:val="2"/>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Antibiotic Susceptibility patterns</w:t>
            </w:r>
          </w:p>
        </w:tc>
      </w:tr>
      <w:tr w:rsidR="003F7782" w:rsidRPr="00BD7B22" w:rsidTr="003F7782">
        <w:trPr>
          <w:trHeight w:val="520"/>
        </w:trPr>
        <w:tc>
          <w:tcPr>
            <w:tcW w:w="1775" w:type="dxa"/>
            <w:vMerge/>
            <w:tcBorders>
              <w:top w:val="nil"/>
              <w:bottom w:val="single" w:sz="4" w:space="0" w:color="auto"/>
            </w:tcBorders>
            <w:vAlign w:val="center"/>
            <w:hideMark/>
          </w:tcPr>
          <w:p w:rsidR="003F7782" w:rsidRPr="00BD7B22" w:rsidRDefault="003F7782" w:rsidP="003F7782">
            <w:pPr>
              <w:spacing w:after="0" w:line="240" w:lineRule="auto"/>
              <w:rPr>
                <w:rFonts w:ascii="Times New Roman" w:hAnsi="Times New Roman" w:cs="Times New Roman"/>
                <w:b/>
                <w:bCs/>
              </w:rPr>
            </w:pPr>
          </w:p>
        </w:tc>
        <w:tc>
          <w:tcPr>
            <w:tcW w:w="1204" w:type="dxa"/>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Susceptibility</w:t>
            </w:r>
          </w:p>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N (%)</w:t>
            </w:r>
          </w:p>
        </w:tc>
        <w:tc>
          <w:tcPr>
            <w:tcW w:w="1140" w:type="dxa"/>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Resistance</w:t>
            </w:r>
          </w:p>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N (%)</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rPr>
              <w:t>Erythromycin</w:t>
            </w:r>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19 (22.9)</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64 (77.1)</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Azithromycin</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39 (47.0)</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44 (53.0)</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rPr>
              <w:t>Streptomycin</w:t>
            </w:r>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59 (71.1)</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 xml:space="preserve">24 (28.9) </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Rifampicin</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13 (15.7)</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70 (84.3)</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Ceftazidime</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9 (10.8)</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74 (89.2)</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rPr>
              <w:t>Amoxicillin</w:t>
            </w:r>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24 (28.9)</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59 (71.1)</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rPr>
              <w:t>Ciprofloxacin</w:t>
            </w:r>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28 (33.7)</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55 (66.3)</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Levofloxacin</w:t>
            </w:r>
            <w:proofErr w:type="spellEnd"/>
            <w:r w:rsidRPr="00BD7B22">
              <w:rPr>
                <w:rFonts w:ascii="Times New Roman" w:hAnsi="Times New Roman" w:cs="Times New Roman"/>
              </w:rPr>
              <w:t xml:space="preserve"> </w:t>
            </w:r>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29 (34.9)</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54 (65.1)</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Gentamycin</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48 (57.8)</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35 (42.2)</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Ofloxacin</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22 (26.5)</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61 (73.5)</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Ceporex</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10 (12.0)</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73 (88.0)</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Pefloxacin</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4 (4.8)</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79 (95.2)</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Ceftriaxone</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8 (9.6)</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75 (90.4)</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Cefuroxime</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21 (25.3)</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62 (74.7)</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proofErr w:type="spellStart"/>
            <w:r w:rsidRPr="00BD7B22">
              <w:rPr>
                <w:rFonts w:ascii="Times New Roman" w:hAnsi="Times New Roman" w:cs="Times New Roman"/>
              </w:rPr>
              <w:t>Augmentin</w:t>
            </w:r>
            <w:proofErr w:type="spellEnd"/>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19 (22.9)</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64 (77.1)</w:t>
            </w:r>
          </w:p>
        </w:tc>
      </w:tr>
      <w:tr w:rsidR="003F7782" w:rsidRPr="00BD7B22" w:rsidTr="003F7782">
        <w:trPr>
          <w:trHeight w:val="235"/>
        </w:trPr>
        <w:tc>
          <w:tcPr>
            <w:tcW w:w="1775" w:type="dxa"/>
          </w:tcPr>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rPr>
              <w:t>Total</w:t>
            </w:r>
          </w:p>
        </w:tc>
        <w:tc>
          <w:tcPr>
            <w:tcW w:w="120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83 (100.0)</w:t>
            </w:r>
          </w:p>
        </w:tc>
        <w:tc>
          <w:tcPr>
            <w:tcW w:w="1140"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83 (100.0)</w:t>
            </w:r>
          </w:p>
        </w:tc>
      </w:tr>
      <w:bookmarkEnd w:id="5"/>
    </w:tbl>
    <w:p w:rsidR="003F7782" w:rsidRPr="00BD7B22" w:rsidRDefault="003F7782" w:rsidP="003F7782">
      <w:pPr>
        <w:spacing w:after="0" w:line="240" w:lineRule="auto"/>
        <w:rPr>
          <w:rFonts w:ascii="Times New Roman" w:hAnsi="Times New Roman" w:cs="Times New Roman"/>
        </w:rPr>
      </w:pPr>
    </w:p>
    <w:p w:rsidR="003F7782" w:rsidRPr="00BD7B22" w:rsidRDefault="003F7782" w:rsidP="003F7782">
      <w:pPr>
        <w:spacing w:after="0" w:line="240" w:lineRule="auto"/>
        <w:jc w:val="both"/>
        <w:rPr>
          <w:rFonts w:ascii="Times New Roman" w:hAnsi="Times New Roman" w:cs="Times New Roman"/>
        </w:rPr>
      </w:pPr>
      <w:r w:rsidRPr="00BD7B22">
        <w:rPr>
          <w:rFonts w:ascii="Times New Roman" w:hAnsi="Times New Roman" w:cs="Times New Roman"/>
        </w:rPr>
        <w:t xml:space="preserve">Table 2 highlights the antibiotic susceptibility and resistance patterns of bacteria isolated from burn wounds, revealing significant challenges posed by antibiotic resistance. Among the tested antibiotics, Streptomycin showed the highest susceptibility rate (71.1%), followed by </w:t>
      </w:r>
      <w:proofErr w:type="spellStart"/>
      <w:r w:rsidRPr="00BD7B22">
        <w:rPr>
          <w:rFonts w:ascii="Times New Roman" w:hAnsi="Times New Roman" w:cs="Times New Roman"/>
        </w:rPr>
        <w:t>Gentamycin</w:t>
      </w:r>
      <w:proofErr w:type="spellEnd"/>
      <w:r w:rsidRPr="00BD7B22">
        <w:rPr>
          <w:rFonts w:ascii="Times New Roman" w:hAnsi="Times New Roman" w:cs="Times New Roman"/>
        </w:rPr>
        <w:t xml:space="preserve"> (57.8%), making them the most effective antibiotics for these infections. </w:t>
      </w:r>
      <w:proofErr w:type="spellStart"/>
      <w:r w:rsidRPr="00BD7B22">
        <w:rPr>
          <w:rFonts w:ascii="Times New Roman" w:hAnsi="Times New Roman" w:cs="Times New Roman"/>
        </w:rPr>
        <w:t>Azithromycin</w:t>
      </w:r>
      <w:proofErr w:type="spellEnd"/>
      <w:r w:rsidRPr="00BD7B22">
        <w:rPr>
          <w:rFonts w:ascii="Times New Roman" w:hAnsi="Times New Roman" w:cs="Times New Roman"/>
        </w:rPr>
        <w:t xml:space="preserve"> (47.0%) and Ciprofloxacin (33.7%) demonstrated moderate effectiveness, with nearly half of the bacterial isolates being resistant. Other antibiotics, including </w:t>
      </w:r>
      <w:proofErr w:type="spellStart"/>
      <w:r w:rsidRPr="00BD7B22">
        <w:rPr>
          <w:rFonts w:ascii="Times New Roman" w:hAnsi="Times New Roman" w:cs="Times New Roman"/>
        </w:rPr>
        <w:t>Levofloxacin</w:t>
      </w:r>
      <w:proofErr w:type="spellEnd"/>
      <w:r w:rsidRPr="00BD7B22">
        <w:rPr>
          <w:rFonts w:ascii="Times New Roman" w:hAnsi="Times New Roman" w:cs="Times New Roman"/>
        </w:rPr>
        <w:t xml:space="preserve"> (34.9%), </w:t>
      </w:r>
      <w:proofErr w:type="spellStart"/>
      <w:r w:rsidRPr="00BD7B22">
        <w:rPr>
          <w:rFonts w:ascii="Times New Roman" w:hAnsi="Times New Roman" w:cs="Times New Roman"/>
        </w:rPr>
        <w:t>Ofloxacin</w:t>
      </w:r>
      <w:proofErr w:type="spellEnd"/>
      <w:r w:rsidRPr="00BD7B22">
        <w:rPr>
          <w:rFonts w:ascii="Times New Roman" w:hAnsi="Times New Roman" w:cs="Times New Roman"/>
        </w:rPr>
        <w:t xml:space="preserve"> (26.5%), Amoxicillin (28.9%), and </w:t>
      </w:r>
      <w:proofErr w:type="spellStart"/>
      <w:r w:rsidRPr="00BD7B22">
        <w:rPr>
          <w:rFonts w:ascii="Times New Roman" w:hAnsi="Times New Roman" w:cs="Times New Roman"/>
        </w:rPr>
        <w:t>Cefuroxime</w:t>
      </w:r>
      <w:proofErr w:type="spellEnd"/>
      <w:r w:rsidRPr="00BD7B22">
        <w:rPr>
          <w:rFonts w:ascii="Times New Roman" w:hAnsi="Times New Roman" w:cs="Times New Roman"/>
        </w:rPr>
        <w:t xml:space="preserve"> (25.3%), exhibited limited susceptibility, indicating reduced efficacy in managing burn wound infections. Notably, antibiotics such as </w:t>
      </w:r>
      <w:proofErr w:type="spellStart"/>
      <w:r w:rsidRPr="00BD7B22">
        <w:rPr>
          <w:rFonts w:ascii="Times New Roman" w:hAnsi="Times New Roman" w:cs="Times New Roman"/>
        </w:rPr>
        <w:t>Rifampicin</w:t>
      </w:r>
      <w:proofErr w:type="spellEnd"/>
      <w:r w:rsidRPr="00BD7B22">
        <w:rPr>
          <w:rFonts w:ascii="Times New Roman" w:hAnsi="Times New Roman" w:cs="Times New Roman"/>
        </w:rPr>
        <w:t xml:space="preserve"> (15.7%), </w:t>
      </w:r>
      <w:proofErr w:type="spellStart"/>
      <w:r w:rsidRPr="00BD7B22">
        <w:rPr>
          <w:rFonts w:ascii="Times New Roman" w:hAnsi="Times New Roman" w:cs="Times New Roman"/>
        </w:rPr>
        <w:t>Ceporex</w:t>
      </w:r>
      <w:proofErr w:type="spellEnd"/>
      <w:r w:rsidRPr="00BD7B22">
        <w:rPr>
          <w:rFonts w:ascii="Times New Roman" w:hAnsi="Times New Roman" w:cs="Times New Roman"/>
        </w:rPr>
        <w:t xml:space="preserve"> (12.0%), </w:t>
      </w:r>
      <w:proofErr w:type="spellStart"/>
      <w:r w:rsidRPr="00BD7B22">
        <w:rPr>
          <w:rFonts w:ascii="Times New Roman" w:hAnsi="Times New Roman" w:cs="Times New Roman"/>
        </w:rPr>
        <w:lastRenderedPageBreak/>
        <w:t>Ceftazidime</w:t>
      </w:r>
      <w:proofErr w:type="spellEnd"/>
      <w:r w:rsidRPr="00BD7B22">
        <w:rPr>
          <w:rFonts w:ascii="Times New Roman" w:hAnsi="Times New Roman" w:cs="Times New Roman"/>
        </w:rPr>
        <w:t xml:space="preserve"> (10.8%), </w:t>
      </w:r>
      <w:proofErr w:type="spellStart"/>
      <w:r w:rsidRPr="00BD7B22">
        <w:rPr>
          <w:rFonts w:ascii="Times New Roman" w:hAnsi="Times New Roman" w:cs="Times New Roman"/>
        </w:rPr>
        <w:t>Ceftriaxone</w:t>
      </w:r>
      <w:proofErr w:type="spellEnd"/>
      <w:r w:rsidRPr="00BD7B22">
        <w:rPr>
          <w:rFonts w:ascii="Times New Roman" w:hAnsi="Times New Roman" w:cs="Times New Roman"/>
        </w:rPr>
        <w:t xml:space="preserve"> (9.6%), and </w:t>
      </w:r>
      <w:proofErr w:type="spellStart"/>
      <w:r w:rsidRPr="00BD7B22">
        <w:rPr>
          <w:rFonts w:ascii="Times New Roman" w:hAnsi="Times New Roman" w:cs="Times New Roman"/>
        </w:rPr>
        <w:t>Pefloxacin</w:t>
      </w:r>
      <w:proofErr w:type="spellEnd"/>
      <w:r w:rsidRPr="00BD7B22">
        <w:rPr>
          <w:rFonts w:ascii="Times New Roman" w:hAnsi="Times New Roman" w:cs="Times New Roman"/>
        </w:rPr>
        <w:t xml:space="preserve"> (4.8%) displayed extremely low susceptibility rates, rendering them largely ineffective.</w:t>
      </w:r>
    </w:p>
    <w:p w:rsidR="003F7782" w:rsidRPr="00BD7B22" w:rsidRDefault="003F7782" w:rsidP="003F7782">
      <w:pPr>
        <w:spacing w:after="0" w:line="240" w:lineRule="auto"/>
        <w:jc w:val="both"/>
        <w:rPr>
          <w:rFonts w:ascii="Times New Roman" w:hAnsi="Times New Roman" w:cs="Times New Roman"/>
        </w:rPr>
      </w:pPr>
      <w:r w:rsidRPr="00BD7B22">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-308610</wp:posOffset>
            </wp:positionH>
            <wp:positionV relativeFrom="paragraph">
              <wp:posOffset>1722120</wp:posOffset>
            </wp:positionV>
            <wp:extent cx="2896870" cy="2863850"/>
            <wp:effectExtent l="0" t="0" r="17780" b="12700"/>
            <wp:wrapThrough wrapText="bothSides">
              <wp:wrapPolygon edited="0">
                <wp:start x="0" y="0"/>
                <wp:lineTo x="0" y="21552"/>
                <wp:lineTo x="21591" y="21552"/>
                <wp:lineTo x="21591" y="0"/>
                <wp:lineTo x="0" y="0"/>
              </wp:wrapPolygon>
            </wp:wrapThrough>
            <wp:docPr id="1679647844" name="Chart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F68F9B3-5A6C-4BAD-10AC-612E6CCF3F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BD7B22">
        <w:rPr>
          <w:rFonts w:ascii="Times New Roman" w:hAnsi="Times New Roman" w:cs="Times New Roman"/>
        </w:rPr>
        <w:t xml:space="preserve">Resistance rates were alarmingly high for most antibiotics. </w:t>
      </w:r>
      <w:proofErr w:type="spellStart"/>
      <w:r w:rsidRPr="00BD7B22">
        <w:rPr>
          <w:rFonts w:ascii="Times New Roman" w:hAnsi="Times New Roman" w:cs="Times New Roman"/>
        </w:rPr>
        <w:t>Pefloxacin</w:t>
      </w:r>
      <w:proofErr w:type="spellEnd"/>
      <w:r w:rsidRPr="00BD7B22">
        <w:rPr>
          <w:rFonts w:ascii="Times New Roman" w:hAnsi="Times New Roman" w:cs="Times New Roman"/>
        </w:rPr>
        <w:t xml:space="preserve"> exhibited the highest resistance (95.2%), followed closely by </w:t>
      </w:r>
      <w:proofErr w:type="spellStart"/>
      <w:r w:rsidRPr="00BD7B22">
        <w:rPr>
          <w:rFonts w:ascii="Times New Roman" w:hAnsi="Times New Roman" w:cs="Times New Roman"/>
        </w:rPr>
        <w:t>Ceftazidime</w:t>
      </w:r>
      <w:proofErr w:type="spellEnd"/>
      <w:r w:rsidRPr="00BD7B22">
        <w:rPr>
          <w:rFonts w:ascii="Times New Roman" w:hAnsi="Times New Roman" w:cs="Times New Roman"/>
        </w:rPr>
        <w:t xml:space="preserve"> (89.2%) and </w:t>
      </w:r>
      <w:proofErr w:type="spellStart"/>
      <w:r w:rsidRPr="00BD7B22">
        <w:rPr>
          <w:rFonts w:ascii="Times New Roman" w:hAnsi="Times New Roman" w:cs="Times New Roman"/>
        </w:rPr>
        <w:t>Ceporex</w:t>
      </w:r>
      <w:proofErr w:type="spellEnd"/>
      <w:r w:rsidRPr="00BD7B22">
        <w:rPr>
          <w:rFonts w:ascii="Times New Roman" w:hAnsi="Times New Roman" w:cs="Times New Roman"/>
        </w:rPr>
        <w:t xml:space="preserve"> (88.0%). Similarly, </w:t>
      </w:r>
      <w:proofErr w:type="spellStart"/>
      <w:r w:rsidRPr="00BD7B22">
        <w:rPr>
          <w:rFonts w:ascii="Times New Roman" w:hAnsi="Times New Roman" w:cs="Times New Roman"/>
        </w:rPr>
        <w:t>Ceftriaxone</w:t>
      </w:r>
      <w:proofErr w:type="spellEnd"/>
      <w:r w:rsidRPr="00BD7B22">
        <w:rPr>
          <w:rFonts w:ascii="Times New Roman" w:hAnsi="Times New Roman" w:cs="Times New Roman"/>
        </w:rPr>
        <w:t xml:space="preserve"> (90.4%) and </w:t>
      </w:r>
      <w:proofErr w:type="spellStart"/>
      <w:r w:rsidRPr="00BD7B22">
        <w:rPr>
          <w:rFonts w:ascii="Times New Roman" w:hAnsi="Times New Roman" w:cs="Times New Roman"/>
        </w:rPr>
        <w:t>Rifampicin</w:t>
      </w:r>
      <w:proofErr w:type="spellEnd"/>
      <w:r w:rsidRPr="00BD7B22">
        <w:rPr>
          <w:rFonts w:ascii="Times New Roman" w:hAnsi="Times New Roman" w:cs="Times New Roman"/>
        </w:rPr>
        <w:t xml:space="preserve"> (84.3%) showed very high resistance levels, limiting their therapeutic utility. Erythromycin and </w:t>
      </w:r>
      <w:proofErr w:type="spellStart"/>
      <w:r w:rsidRPr="00BD7B22">
        <w:rPr>
          <w:rFonts w:ascii="Times New Roman" w:hAnsi="Times New Roman" w:cs="Times New Roman"/>
        </w:rPr>
        <w:t>Augmentin</w:t>
      </w:r>
      <w:proofErr w:type="spellEnd"/>
      <w:r w:rsidRPr="00BD7B22">
        <w:rPr>
          <w:rFonts w:ascii="Times New Roman" w:hAnsi="Times New Roman" w:cs="Times New Roman"/>
        </w:rPr>
        <w:t xml:space="preserve"> both had resistance rates of 77.1%, while </w:t>
      </w:r>
      <w:proofErr w:type="spellStart"/>
      <w:r w:rsidRPr="00BD7B22">
        <w:rPr>
          <w:rFonts w:ascii="Times New Roman" w:hAnsi="Times New Roman" w:cs="Times New Roman"/>
        </w:rPr>
        <w:t>Ofloxacin</w:t>
      </w:r>
      <w:proofErr w:type="spellEnd"/>
      <w:r w:rsidRPr="00BD7B22">
        <w:rPr>
          <w:rFonts w:ascii="Times New Roman" w:hAnsi="Times New Roman" w:cs="Times New Roman"/>
        </w:rPr>
        <w:t xml:space="preserve"> (73.5%) and Amoxicillin (71.1%) also displayed substantial resistance. Even commonly used antibiotics such as </w:t>
      </w:r>
      <w:proofErr w:type="spellStart"/>
      <w:r w:rsidRPr="00BD7B22">
        <w:rPr>
          <w:rFonts w:ascii="Times New Roman" w:hAnsi="Times New Roman" w:cs="Times New Roman"/>
        </w:rPr>
        <w:t>Cefuroxime</w:t>
      </w:r>
      <w:proofErr w:type="spellEnd"/>
      <w:r w:rsidRPr="00BD7B22">
        <w:rPr>
          <w:rFonts w:ascii="Times New Roman" w:hAnsi="Times New Roman" w:cs="Times New Roman"/>
        </w:rPr>
        <w:t xml:space="preserve"> (74.7%) faced significant resistance. </w:t>
      </w:r>
    </w:p>
    <w:p w:rsidR="003F7782" w:rsidRPr="00BD7B22" w:rsidRDefault="003F7782" w:rsidP="003F7782">
      <w:pPr>
        <w:spacing w:after="0" w:line="240" w:lineRule="auto"/>
        <w:rPr>
          <w:rFonts w:ascii="Times New Roman" w:hAnsi="Times New Roman" w:cs="Times New Roman"/>
          <w:b/>
        </w:rPr>
      </w:pPr>
      <w:r w:rsidRPr="00BD7B22">
        <w:rPr>
          <w:rFonts w:ascii="Times New Roman" w:hAnsi="Times New Roman" w:cs="Times New Roman"/>
          <w:b/>
        </w:rPr>
        <w:t xml:space="preserve">Figure 3: </w:t>
      </w:r>
      <w:r w:rsidRPr="00BD7B22">
        <w:rPr>
          <w:rFonts w:ascii="Times New Roman" w:hAnsi="Times New Roman" w:cs="Times New Roman"/>
          <w:bCs/>
        </w:rPr>
        <w:t>Graphical representation of Antibiotic susceptibility patterns of isolated bacteria from burn wounds.</w:t>
      </w:r>
    </w:p>
    <w:p w:rsidR="003F7782" w:rsidRPr="00BD7B22" w:rsidRDefault="003F7782" w:rsidP="003F7782">
      <w:pPr>
        <w:spacing w:after="0" w:line="240" w:lineRule="auto"/>
        <w:rPr>
          <w:rFonts w:ascii="Times New Roman" w:hAnsi="Times New Roman" w:cs="Times New Roman"/>
          <w:b/>
        </w:rPr>
      </w:pPr>
      <w:bookmarkStart w:id="6" w:name="_Hlk184099898"/>
    </w:p>
    <w:p w:rsidR="003F7782" w:rsidRPr="00BD7B22" w:rsidRDefault="003F7782" w:rsidP="003F7782">
      <w:pPr>
        <w:spacing w:after="0" w:line="240" w:lineRule="auto"/>
        <w:rPr>
          <w:rFonts w:ascii="Times New Roman" w:hAnsi="Times New Roman" w:cs="Times New Roman"/>
          <w:b/>
        </w:rPr>
      </w:pPr>
    </w:p>
    <w:p w:rsidR="003F7782" w:rsidRDefault="003F7782" w:rsidP="003F7782">
      <w:pPr>
        <w:spacing w:after="0" w:line="240" w:lineRule="auto"/>
        <w:rPr>
          <w:rFonts w:ascii="Times New Roman" w:hAnsi="Times New Roman" w:cs="Times New Roman"/>
          <w:b/>
        </w:rPr>
      </w:pPr>
    </w:p>
    <w:p w:rsidR="003F7782" w:rsidRDefault="003F7782" w:rsidP="003F7782">
      <w:pPr>
        <w:spacing w:after="0" w:line="240" w:lineRule="auto"/>
        <w:rPr>
          <w:rFonts w:ascii="Times New Roman" w:hAnsi="Times New Roman" w:cs="Times New Roman"/>
          <w:b/>
        </w:rPr>
      </w:pPr>
    </w:p>
    <w:p w:rsidR="003F7782" w:rsidRDefault="003F7782" w:rsidP="003F7782">
      <w:pPr>
        <w:spacing w:after="0" w:line="240" w:lineRule="auto"/>
        <w:rPr>
          <w:rFonts w:ascii="Times New Roman" w:hAnsi="Times New Roman" w:cs="Times New Roman"/>
          <w:b/>
        </w:rPr>
      </w:pPr>
    </w:p>
    <w:p w:rsidR="003F7782" w:rsidRDefault="003F7782" w:rsidP="003F7782">
      <w:pPr>
        <w:spacing w:after="0" w:line="240" w:lineRule="auto"/>
        <w:rPr>
          <w:rFonts w:ascii="Times New Roman" w:hAnsi="Times New Roman" w:cs="Times New Roman"/>
          <w:b/>
        </w:rPr>
      </w:pPr>
    </w:p>
    <w:p w:rsidR="003F7782" w:rsidRDefault="003F7782" w:rsidP="003F7782">
      <w:pPr>
        <w:spacing w:after="0" w:line="240" w:lineRule="auto"/>
        <w:rPr>
          <w:rFonts w:ascii="Times New Roman" w:hAnsi="Times New Roman" w:cs="Times New Roman"/>
          <w:b/>
        </w:rPr>
      </w:pPr>
    </w:p>
    <w:p w:rsidR="003F7782" w:rsidRPr="00BD7B22" w:rsidRDefault="003F7782" w:rsidP="003F7782">
      <w:pPr>
        <w:spacing w:after="0" w:line="240" w:lineRule="auto"/>
        <w:rPr>
          <w:rFonts w:ascii="Times New Roman" w:hAnsi="Times New Roman" w:cs="Times New Roman"/>
          <w:b/>
        </w:rPr>
      </w:pPr>
    </w:p>
    <w:p w:rsidR="003F7782" w:rsidRPr="00BD7B22" w:rsidRDefault="003F7782" w:rsidP="003F7782">
      <w:pPr>
        <w:spacing w:after="0" w:line="240" w:lineRule="auto"/>
        <w:rPr>
          <w:rFonts w:ascii="Times New Roman" w:hAnsi="Times New Roman" w:cs="Times New Roman"/>
          <w:b/>
        </w:rPr>
      </w:pPr>
      <w:r w:rsidRPr="00BD7B22">
        <w:rPr>
          <w:rFonts w:ascii="Times New Roman" w:hAnsi="Times New Roman" w:cs="Times New Roman"/>
          <w:b/>
        </w:rPr>
        <w:t xml:space="preserve">4.3 Table 3: Prevalence of multi-drug-resistant strains in burn wounds </w:t>
      </w:r>
    </w:p>
    <w:tbl>
      <w:tblPr>
        <w:tblStyle w:val="TableGrid"/>
        <w:tblW w:w="4749" w:type="dxa"/>
        <w:jc w:val="center"/>
        <w:tblBorders>
          <w:left w:val="none" w:sz="0" w:space="0" w:color="auto"/>
          <w:right w:val="none" w:sz="0" w:space="0" w:color="auto"/>
          <w:insideH w:val="none" w:sz="0" w:space="0" w:color="auto"/>
          <w:insideV w:val="none" w:sz="0" w:space="0" w:color="auto"/>
        </w:tblBorders>
        <w:tblLook w:val="04A0"/>
      </w:tblPr>
      <w:tblGrid>
        <w:gridCol w:w="2985"/>
        <w:gridCol w:w="829"/>
        <w:gridCol w:w="935"/>
      </w:tblGrid>
      <w:tr w:rsidR="003F7782" w:rsidRPr="00BD7B22" w:rsidTr="003F7782">
        <w:trPr>
          <w:trHeight w:val="83"/>
          <w:jc w:val="center"/>
        </w:trPr>
        <w:tc>
          <w:tcPr>
            <w:tcW w:w="2985" w:type="dxa"/>
            <w:vMerge w:val="restart"/>
            <w:tcBorders>
              <w:top w:val="single" w:sz="4" w:space="0" w:color="auto"/>
              <w:bottom w:val="nil"/>
            </w:tcBorders>
          </w:tcPr>
          <w:bookmarkEnd w:id="6"/>
          <w:p w:rsidR="003F7782" w:rsidRPr="00BD7B22" w:rsidRDefault="003F7782" w:rsidP="003F7782">
            <w:pPr>
              <w:spacing w:after="0" w:line="240" w:lineRule="auto"/>
              <w:rPr>
                <w:rFonts w:ascii="Times New Roman" w:hAnsi="Times New Roman" w:cs="Times New Roman"/>
                <w:b/>
                <w:bCs/>
              </w:rPr>
            </w:pPr>
            <w:r w:rsidRPr="00BD7B22">
              <w:rPr>
                <w:rFonts w:ascii="Times New Roman" w:hAnsi="Times New Roman" w:cs="Times New Roman"/>
                <w:b/>
                <w:bCs/>
              </w:rPr>
              <w:t xml:space="preserve">Bacteria isolates from </w:t>
            </w:r>
            <w:r w:rsidRPr="00BD7B22">
              <w:rPr>
                <w:rFonts w:ascii="Times New Roman" w:hAnsi="Times New Roman" w:cs="Times New Roman"/>
                <w:b/>
                <w:bCs/>
              </w:rPr>
              <w:lastRenderedPageBreak/>
              <w:t>burn wounds</w:t>
            </w:r>
          </w:p>
          <w:p w:rsidR="003F7782" w:rsidRPr="00BD7B22" w:rsidRDefault="003F7782" w:rsidP="003F7782">
            <w:pPr>
              <w:spacing w:after="0" w:line="240" w:lineRule="auto"/>
              <w:rPr>
                <w:rFonts w:ascii="Times New Roman" w:hAnsi="Times New Roman" w:cs="Times New Roman"/>
                <w:b/>
                <w:bCs/>
              </w:rPr>
            </w:pPr>
          </w:p>
        </w:tc>
        <w:tc>
          <w:tcPr>
            <w:tcW w:w="1764" w:type="dxa"/>
            <w:gridSpan w:val="2"/>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Prevalence</w:t>
            </w:r>
          </w:p>
        </w:tc>
      </w:tr>
      <w:tr w:rsidR="003F7782" w:rsidRPr="00BD7B22" w:rsidTr="003F7782">
        <w:trPr>
          <w:trHeight w:val="84"/>
          <w:jc w:val="center"/>
        </w:trPr>
        <w:tc>
          <w:tcPr>
            <w:tcW w:w="2985" w:type="dxa"/>
            <w:vMerge/>
            <w:tcBorders>
              <w:top w:val="nil"/>
              <w:bottom w:val="single" w:sz="4" w:space="0" w:color="auto"/>
            </w:tcBorders>
            <w:vAlign w:val="center"/>
          </w:tcPr>
          <w:p w:rsidR="003F7782" w:rsidRPr="00BD7B22" w:rsidRDefault="003F7782" w:rsidP="003F7782">
            <w:pPr>
              <w:spacing w:after="0" w:line="240" w:lineRule="auto"/>
              <w:rPr>
                <w:rFonts w:ascii="Times New Roman" w:hAnsi="Times New Roman" w:cs="Times New Roman"/>
                <w:b/>
                <w:bCs/>
              </w:rPr>
            </w:pPr>
          </w:p>
        </w:tc>
        <w:tc>
          <w:tcPr>
            <w:tcW w:w="829" w:type="dxa"/>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MDR</w:t>
            </w:r>
          </w:p>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N (%)</w:t>
            </w:r>
          </w:p>
        </w:tc>
        <w:tc>
          <w:tcPr>
            <w:tcW w:w="934" w:type="dxa"/>
            <w:tcBorders>
              <w:top w:val="single" w:sz="4" w:space="0" w:color="auto"/>
              <w:bottom w:val="single" w:sz="4" w:space="0" w:color="auto"/>
            </w:tcBorders>
            <w:hideMark/>
          </w:tcPr>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Non-MDR</w:t>
            </w:r>
          </w:p>
          <w:p w:rsidR="003F7782" w:rsidRPr="00BD7B22" w:rsidRDefault="003F7782" w:rsidP="003F7782">
            <w:pPr>
              <w:spacing w:after="0" w:line="240" w:lineRule="auto"/>
              <w:jc w:val="center"/>
              <w:rPr>
                <w:rFonts w:ascii="Times New Roman" w:hAnsi="Times New Roman" w:cs="Times New Roman"/>
                <w:b/>
                <w:bCs/>
              </w:rPr>
            </w:pPr>
            <w:r w:rsidRPr="00BD7B22">
              <w:rPr>
                <w:rFonts w:ascii="Times New Roman" w:hAnsi="Times New Roman" w:cs="Times New Roman"/>
                <w:b/>
                <w:bCs/>
              </w:rPr>
              <w:t>N (%)</w:t>
            </w:r>
          </w:p>
        </w:tc>
      </w:tr>
      <w:tr w:rsidR="003F7782" w:rsidRPr="00BD7B22" w:rsidTr="003F7782">
        <w:trPr>
          <w:trHeight w:val="96"/>
          <w:jc w:val="center"/>
        </w:trPr>
        <w:tc>
          <w:tcPr>
            <w:tcW w:w="2985" w:type="dxa"/>
          </w:tcPr>
          <w:p w:rsidR="003F7782" w:rsidRPr="00BD7B22" w:rsidRDefault="003F7782" w:rsidP="003F7782">
            <w:pPr>
              <w:spacing w:after="0" w:line="240" w:lineRule="auto"/>
              <w:ind w:left="37"/>
              <w:rPr>
                <w:rFonts w:ascii="Times New Roman" w:hAnsi="Times New Roman" w:cs="Times New Roman"/>
              </w:rPr>
            </w:pPr>
            <w:r w:rsidRPr="00BD7B22">
              <w:rPr>
                <w:rFonts w:ascii="Times New Roman" w:hAnsi="Times New Roman" w:cs="Times New Roman"/>
                <w:i/>
                <w:iCs/>
              </w:rPr>
              <w:t xml:space="preserve">Staphylococcus </w:t>
            </w:r>
            <w:proofErr w:type="spellStart"/>
            <w:r w:rsidRPr="00BD7B22">
              <w:rPr>
                <w:rFonts w:ascii="Times New Roman" w:hAnsi="Times New Roman" w:cs="Times New Roman"/>
                <w:i/>
                <w:iCs/>
              </w:rPr>
              <w:t>aureus</w:t>
            </w:r>
            <w:proofErr w:type="spellEnd"/>
            <w:r w:rsidRPr="00BD7B22">
              <w:rPr>
                <w:rFonts w:ascii="Times New Roman" w:hAnsi="Times New Roman" w:cs="Times New Roman"/>
              </w:rPr>
              <w:t xml:space="preserve"> (n=45)</w:t>
            </w:r>
          </w:p>
          <w:p w:rsidR="003F7782" w:rsidRPr="00BD7B22" w:rsidRDefault="003F7782" w:rsidP="003F7782">
            <w:pPr>
              <w:spacing w:after="0" w:line="240" w:lineRule="auto"/>
              <w:ind w:left="37"/>
              <w:rPr>
                <w:rFonts w:ascii="Times New Roman" w:hAnsi="Times New Roman" w:cs="Times New Roman"/>
              </w:rPr>
            </w:pPr>
            <w:r w:rsidRPr="00BD7B22">
              <w:rPr>
                <w:rFonts w:ascii="Times New Roman" w:hAnsi="Times New Roman" w:cs="Times New Roman"/>
                <w:i/>
                <w:iCs/>
              </w:rPr>
              <w:t xml:space="preserve">Escherichia coli </w:t>
            </w:r>
            <w:r w:rsidRPr="00BD7B22">
              <w:rPr>
                <w:rFonts w:ascii="Times New Roman" w:hAnsi="Times New Roman" w:cs="Times New Roman"/>
              </w:rPr>
              <w:t>(n=5)</w:t>
            </w:r>
          </w:p>
          <w:p w:rsidR="003F7782" w:rsidRPr="00BD7B22" w:rsidRDefault="003F7782" w:rsidP="003F7782">
            <w:pPr>
              <w:spacing w:after="0" w:line="240" w:lineRule="auto"/>
              <w:ind w:left="37"/>
              <w:rPr>
                <w:rFonts w:ascii="Times New Roman" w:hAnsi="Times New Roman" w:cs="Times New Roman"/>
              </w:rPr>
            </w:pPr>
            <w:r w:rsidRPr="00BD7B22">
              <w:rPr>
                <w:rFonts w:ascii="Times New Roman" w:hAnsi="Times New Roman" w:cs="Times New Roman"/>
                <w:i/>
                <w:iCs/>
              </w:rPr>
              <w:t xml:space="preserve">Proteus mirabilis </w:t>
            </w:r>
            <w:r w:rsidRPr="00BD7B22">
              <w:rPr>
                <w:rFonts w:ascii="Times New Roman" w:hAnsi="Times New Roman" w:cs="Times New Roman"/>
              </w:rPr>
              <w:t>(n=3)</w:t>
            </w:r>
          </w:p>
          <w:p w:rsidR="003F7782" w:rsidRPr="00BD7B22" w:rsidRDefault="003F7782" w:rsidP="003F7782">
            <w:pPr>
              <w:spacing w:after="0" w:line="240" w:lineRule="auto"/>
              <w:ind w:left="37"/>
              <w:rPr>
                <w:rFonts w:ascii="Times New Roman" w:hAnsi="Times New Roman" w:cs="Times New Roman"/>
              </w:rPr>
            </w:pPr>
            <w:proofErr w:type="spellStart"/>
            <w:r w:rsidRPr="00BD7B22">
              <w:rPr>
                <w:rFonts w:ascii="Times New Roman" w:hAnsi="Times New Roman" w:cs="Times New Roman"/>
                <w:i/>
                <w:iCs/>
              </w:rPr>
              <w:t>Klebsiella</w:t>
            </w:r>
            <w:proofErr w:type="spellEnd"/>
            <w:r w:rsidRPr="00BD7B22">
              <w:rPr>
                <w:rFonts w:ascii="Times New Roman" w:hAnsi="Times New Roman" w:cs="Times New Roman"/>
                <w:i/>
                <w:iCs/>
              </w:rPr>
              <w:t xml:space="preserve"> </w:t>
            </w:r>
            <w:proofErr w:type="spellStart"/>
            <w:r w:rsidRPr="00BD7B22">
              <w:rPr>
                <w:rFonts w:ascii="Times New Roman" w:hAnsi="Times New Roman" w:cs="Times New Roman"/>
                <w:i/>
                <w:iCs/>
              </w:rPr>
              <w:t>pneumoniae</w:t>
            </w:r>
            <w:proofErr w:type="spellEnd"/>
            <w:r w:rsidRPr="00BD7B22">
              <w:rPr>
                <w:rFonts w:ascii="Times New Roman" w:hAnsi="Times New Roman" w:cs="Times New Roman"/>
                <w:i/>
                <w:iCs/>
              </w:rPr>
              <w:t xml:space="preserve"> </w:t>
            </w:r>
            <w:r w:rsidRPr="00BD7B22">
              <w:rPr>
                <w:rFonts w:ascii="Times New Roman" w:hAnsi="Times New Roman" w:cs="Times New Roman"/>
              </w:rPr>
              <w:t>(n=15)</w:t>
            </w:r>
          </w:p>
          <w:p w:rsidR="003F7782" w:rsidRPr="00BD7B22" w:rsidRDefault="003F7782" w:rsidP="003F7782">
            <w:pPr>
              <w:spacing w:after="0" w:line="240" w:lineRule="auto"/>
              <w:ind w:left="37"/>
              <w:rPr>
                <w:rFonts w:ascii="Times New Roman" w:hAnsi="Times New Roman" w:cs="Times New Roman"/>
              </w:rPr>
            </w:pPr>
            <w:r w:rsidRPr="00BD7B22">
              <w:rPr>
                <w:rFonts w:ascii="Times New Roman" w:hAnsi="Times New Roman" w:cs="Times New Roman"/>
                <w:i/>
                <w:iCs/>
              </w:rPr>
              <w:t xml:space="preserve">Pseudomonas </w:t>
            </w:r>
            <w:proofErr w:type="spellStart"/>
            <w:r w:rsidRPr="00BD7B22">
              <w:rPr>
                <w:rFonts w:ascii="Times New Roman" w:hAnsi="Times New Roman" w:cs="Times New Roman"/>
                <w:i/>
                <w:iCs/>
              </w:rPr>
              <w:t>aeruginosa</w:t>
            </w:r>
            <w:proofErr w:type="spellEnd"/>
            <w:r w:rsidRPr="00BD7B22">
              <w:rPr>
                <w:rFonts w:ascii="Times New Roman" w:hAnsi="Times New Roman" w:cs="Times New Roman"/>
                <w:i/>
                <w:iCs/>
              </w:rPr>
              <w:t xml:space="preserve"> </w:t>
            </w:r>
            <w:r w:rsidRPr="00BD7B22">
              <w:rPr>
                <w:rFonts w:ascii="Times New Roman" w:hAnsi="Times New Roman" w:cs="Times New Roman"/>
              </w:rPr>
              <w:t>(n=11)</w:t>
            </w:r>
          </w:p>
          <w:p w:rsidR="003F7782" w:rsidRPr="00BD7B22" w:rsidRDefault="003F7782" w:rsidP="003F7782">
            <w:pPr>
              <w:spacing w:after="0" w:line="240" w:lineRule="auto"/>
              <w:ind w:left="37"/>
              <w:rPr>
                <w:rFonts w:ascii="Times New Roman" w:hAnsi="Times New Roman" w:cs="Times New Roman"/>
              </w:rPr>
            </w:pPr>
            <w:r w:rsidRPr="00BD7B22">
              <w:rPr>
                <w:rFonts w:ascii="Times New Roman" w:hAnsi="Times New Roman" w:cs="Times New Roman"/>
                <w:i/>
                <w:iCs/>
              </w:rPr>
              <w:t xml:space="preserve">Streptococcus </w:t>
            </w:r>
            <w:proofErr w:type="spellStart"/>
            <w:r w:rsidRPr="00BD7B22">
              <w:rPr>
                <w:rFonts w:ascii="Times New Roman" w:hAnsi="Times New Roman" w:cs="Times New Roman"/>
                <w:i/>
                <w:iCs/>
              </w:rPr>
              <w:t>pneumoniae</w:t>
            </w:r>
            <w:proofErr w:type="spellEnd"/>
            <w:r w:rsidRPr="00BD7B22">
              <w:rPr>
                <w:rFonts w:ascii="Times New Roman" w:hAnsi="Times New Roman" w:cs="Times New Roman"/>
                <w:i/>
                <w:iCs/>
              </w:rPr>
              <w:t xml:space="preserve"> </w:t>
            </w:r>
            <w:r w:rsidRPr="00BD7B22">
              <w:rPr>
                <w:rFonts w:ascii="Times New Roman" w:hAnsi="Times New Roman" w:cs="Times New Roman"/>
              </w:rPr>
              <w:t>(n=4)</w:t>
            </w:r>
          </w:p>
        </w:tc>
        <w:tc>
          <w:tcPr>
            <w:tcW w:w="829"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32 (71.1)</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 (40.0)</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 (33.3)</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11 (73.3)</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8 (72.7)</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 (50.0)</w:t>
            </w:r>
          </w:p>
        </w:tc>
        <w:tc>
          <w:tcPr>
            <w:tcW w:w="93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13 (28.9)</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3 (60.0)</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 (66.7)</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4 (26.7)</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3 (27.3)</w:t>
            </w:r>
          </w:p>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 (50.0)</w:t>
            </w:r>
          </w:p>
        </w:tc>
      </w:tr>
      <w:tr w:rsidR="003F7782" w:rsidRPr="00BD7B22" w:rsidTr="003F7782">
        <w:trPr>
          <w:trHeight w:val="96"/>
          <w:jc w:val="center"/>
        </w:trPr>
        <w:tc>
          <w:tcPr>
            <w:tcW w:w="2985" w:type="dxa"/>
          </w:tcPr>
          <w:p w:rsidR="003F7782" w:rsidRPr="00BD7B22" w:rsidRDefault="003F7782" w:rsidP="003F7782">
            <w:pPr>
              <w:spacing w:after="0" w:line="240" w:lineRule="auto"/>
              <w:ind w:left="37"/>
              <w:rPr>
                <w:rFonts w:ascii="Times New Roman" w:hAnsi="Times New Roman" w:cs="Times New Roman"/>
              </w:rPr>
            </w:pPr>
            <w:r w:rsidRPr="00BD7B22">
              <w:rPr>
                <w:rFonts w:ascii="Times New Roman" w:hAnsi="Times New Roman" w:cs="Times New Roman"/>
              </w:rPr>
              <w:t>Total bacteria isolates (n=83)</w:t>
            </w:r>
          </w:p>
        </w:tc>
        <w:tc>
          <w:tcPr>
            <w:tcW w:w="829"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56 (67.5)</w:t>
            </w:r>
          </w:p>
        </w:tc>
        <w:tc>
          <w:tcPr>
            <w:tcW w:w="934" w:type="dxa"/>
          </w:tcPr>
          <w:p w:rsidR="003F7782" w:rsidRPr="00BD7B22" w:rsidRDefault="003F7782" w:rsidP="003F7782">
            <w:pPr>
              <w:spacing w:after="0" w:line="240" w:lineRule="auto"/>
              <w:jc w:val="center"/>
              <w:rPr>
                <w:rFonts w:ascii="Times New Roman" w:hAnsi="Times New Roman" w:cs="Times New Roman"/>
              </w:rPr>
            </w:pPr>
            <w:r w:rsidRPr="00BD7B22">
              <w:rPr>
                <w:rFonts w:ascii="Times New Roman" w:hAnsi="Times New Roman" w:cs="Times New Roman"/>
              </w:rPr>
              <w:t>27 (32.5)</w:t>
            </w:r>
          </w:p>
        </w:tc>
      </w:tr>
    </w:tbl>
    <w:p w:rsidR="003F7782" w:rsidRPr="00BD7B22" w:rsidRDefault="003F7782" w:rsidP="003F7782">
      <w:pPr>
        <w:spacing w:after="0" w:line="240" w:lineRule="auto"/>
        <w:rPr>
          <w:rFonts w:ascii="Times New Roman" w:hAnsi="Times New Roman" w:cs="Times New Roman"/>
        </w:rPr>
      </w:pPr>
    </w:p>
    <w:p w:rsidR="003F7782" w:rsidRPr="00BD7B22" w:rsidRDefault="003F7782" w:rsidP="003F7782">
      <w:pPr>
        <w:spacing w:after="0" w:line="240" w:lineRule="auto"/>
        <w:jc w:val="both"/>
        <w:rPr>
          <w:rFonts w:ascii="Times New Roman" w:hAnsi="Times New Roman" w:cs="Times New Roman"/>
        </w:rPr>
      </w:pPr>
      <w:r w:rsidRPr="00BD7B22">
        <w:rPr>
          <w:rFonts w:ascii="Times New Roman" w:hAnsi="Times New Roman" w:cs="Times New Roman"/>
        </w:rPr>
        <w:t xml:space="preserve">Table 3 highlights the prevalence of multi-drug-resistant (MDR) bacterial strains isolated from burn wounds. Among the isolates,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showed the highest MDR rate (71.1%), followed by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(73.3%)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(72.7%), indicating their significant contribution to treatment challenges. Lower MDR rates were observed in Escherichia coli (40.0%), Proteus mirabilis (33.3%), and Streptococcus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(50.0%). Overall, 67.5% of the total isolates were MDR, underscoring the widespread resistance in burn wound infections. </w:t>
      </w:r>
    </w:p>
    <w:p w:rsidR="003F7782" w:rsidRPr="00BD7B22" w:rsidRDefault="003F7782" w:rsidP="003F7782">
      <w:pPr>
        <w:spacing w:after="0" w:line="240" w:lineRule="auto"/>
        <w:rPr>
          <w:rFonts w:ascii="Times New Roman" w:hAnsi="Times New Roman" w:cs="Times New Roman"/>
        </w:rPr>
      </w:pPr>
      <w:r w:rsidRPr="00BD7B22">
        <w:rPr>
          <w:rFonts w:ascii="Times New Roman" w:hAnsi="Times New Roman" w:cs="Times New Roman"/>
          <w:noProof/>
        </w:rPr>
        <w:drawing>
          <wp:inline distT="0" distB="0" distL="0" distR="0">
            <wp:extent cx="2745724" cy="1498294"/>
            <wp:effectExtent l="0" t="0" r="17145" b="6985"/>
            <wp:docPr id="1558457008" name="Chart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09F9911-2FD6-7A29-2883-298A8C4C7C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7782" w:rsidRDefault="003F7782" w:rsidP="003F7782">
      <w:pPr>
        <w:spacing w:after="0" w:line="240" w:lineRule="auto"/>
        <w:rPr>
          <w:rFonts w:ascii="Times New Roman" w:hAnsi="Times New Roman" w:cs="Times New Roman"/>
          <w:bCs/>
        </w:rPr>
      </w:pPr>
      <w:bookmarkStart w:id="7" w:name="_Hlk184100440"/>
      <w:r w:rsidRPr="00BD7B22">
        <w:rPr>
          <w:rFonts w:ascii="Times New Roman" w:hAnsi="Times New Roman" w:cs="Times New Roman"/>
          <w:b/>
        </w:rPr>
        <w:t xml:space="preserve">Figure 4: </w:t>
      </w:r>
      <w:r w:rsidRPr="00BD7B22">
        <w:rPr>
          <w:rFonts w:ascii="Times New Roman" w:hAnsi="Times New Roman" w:cs="Times New Roman"/>
          <w:bCs/>
        </w:rPr>
        <w:t>Graphical representation of prevalence of multi-drug-resistant strains in burn wounds</w:t>
      </w:r>
      <w:bookmarkEnd w:id="7"/>
    </w:p>
    <w:p w:rsidR="003F7782" w:rsidRPr="009E2B1A" w:rsidRDefault="003F7782" w:rsidP="003F7782">
      <w:pPr>
        <w:spacing w:after="0" w:line="240" w:lineRule="auto"/>
        <w:rPr>
          <w:rFonts w:ascii="Times New Roman" w:hAnsi="Times New Roman" w:cs="Times New Roman"/>
          <w:b/>
        </w:rPr>
      </w:pPr>
    </w:p>
    <w:p w:rsidR="009C4BBA" w:rsidRPr="00A4375E" w:rsidRDefault="009C4BBA" w:rsidP="009C4BBA">
      <w:pPr>
        <w:spacing w:after="0"/>
        <w:jc w:val="both"/>
        <w:rPr>
          <w:rFonts w:ascii="Times New Roman" w:hAnsi="Times New Roman" w:cs="Times New Roman"/>
          <w:b/>
          <w:bCs/>
          <w:sz w:val="20"/>
          <w:szCs w:val="20"/>
        </w:rPr>
      </w:pPr>
      <w:r w:rsidRPr="00A4375E">
        <w:rPr>
          <w:rFonts w:ascii="Times New Roman" w:hAnsi="Times New Roman" w:cs="Times New Roman"/>
          <w:b/>
          <w:bCs/>
          <w:sz w:val="20"/>
          <w:szCs w:val="20"/>
        </w:rPr>
        <w:t>DISCUSSION</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study investigated bacteriological profile of burn wounds among patients at </w:t>
      </w:r>
      <w:proofErr w:type="spellStart"/>
      <w:r w:rsidRPr="00BD7B22">
        <w:rPr>
          <w:rFonts w:ascii="Times New Roman" w:hAnsi="Times New Roman" w:cs="Times New Roman"/>
        </w:rPr>
        <w:t>Orthopaedics</w:t>
      </w:r>
      <w:proofErr w:type="spellEnd"/>
      <w:r w:rsidRPr="00BD7B22">
        <w:rPr>
          <w:rFonts w:ascii="Times New Roman" w:hAnsi="Times New Roman" w:cs="Times New Roman"/>
        </w:rPr>
        <w:t xml:space="preserve"> Hospital, Enugu, Nigeria. Burn injuries represent </w:t>
      </w:r>
      <w:r w:rsidRPr="00BD7B22">
        <w:rPr>
          <w:rFonts w:ascii="Times New Roman" w:hAnsi="Times New Roman" w:cs="Times New Roman"/>
        </w:rPr>
        <w:lastRenderedPageBreak/>
        <w:t xml:space="preserve">a significant healthcare challenge, often leading to complex infections due to the loss of the skin’s protective barrier. The objectives of the study include identifying the bacterial species responsible for burn wound infections, evaluating the prevalence of multi-drug-resistant (MDR) strains, and analyzing the resistance patterns to commonly used antibiotics. </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bacteriological analysis of burn wounds in this study revealed a prevalence of 83% bacterial growth, with 17% of the samples showing no bacterial growth. The predominant isolate was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(54.2%), followed by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(18.1%),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(13.3%), Escherichia coli (6.0%), Streptococcus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(4.8%), and Proteus mirabilis (3.6%). These findings reflect the susceptibility of burn wounds to microbial colonization and the diversity of bacterial species responsible for infections. The high prevalence of bacterial infections can be attributed to the nature of burn wounds, which disrupt the skin’s natural barrier, exposing tissues to environmental pathogens and hospital-acquired bacteria. The moist, nutrient-rich environment of burn wounds provides ideal conditions for bacterial growth. Moreover, the </w:t>
      </w:r>
      <w:proofErr w:type="spellStart"/>
      <w:r w:rsidRPr="00BD7B22">
        <w:rPr>
          <w:rFonts w:ascii="Times New Roman" w:hAnsi="Times New Roman" w:cs="Times New Roman"/>
        </w:rPr>
        <w:t>immunocompromised</w:t>
      </w:r>
      <w:proofErr w:type="spellEnd"/>
      <w:r w:rsidRPr="00BD7B22">
        <w:rPr>
          <w:rFonts w:ascii="Times New Roman" w:hAnsi="Times New Roman" w:cs="Times New Roman"/>
        </w:rPr>
        <w:t xml:space="preserve"> state of burn patients further predisposes them to infections.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 common skin </w:t>
      </w:r>
      <w:proofErr w:type="spellStart"/>
      <w:r w:rsidRPr="00BD7B22">
        <w:rPr>
          <w:rFonts w:ascii="Times New Roman" w:hAnsi="Times New Roman" w:cs="Times New Roman"/>
        </w:rPr>
        <w:t>commensal</w:t>
      </w:r>
      <w:proofErr w:type="spellEnd"/>
      <w:r w:rsidRPr="00BD7B22">
        <w:rPr>
          <w:rFonts w:ascii="Times New Roman" w:hAnsi="Times New Roman" w:cs="Times New Roman"/>
        </w:rPr>
        <w:t xml:space="preserve">, emerges as the predominant pathogen due to its ability to adhere to damaged tissues, evade immune responses, and produce virulence factors like toxins and </w:t>
      </w:r>
      <w:proofErr w:type="spellStart"/>
      <w:r w:rsidRPr="00BD7B22">
        <w:rPr>
          <w:rFonts w:ascii="Times New Roman" w:hAnsi="Times New Roman" w:cs="Times New Roman"/>
        </w:rPr>
        <w:t>biofilms</w:t>
      </w:r>
      <w:proofErr w:type="spellEnd"/>
      <w:r w:rsidRPr="00BD7B22">
        <w:rPr>
          <w:rFonts w:ascii="Times New Roman" w:hAnsi="Times New Roman" w:cs="Times New Roman"/>
        </w:rPr>
        <w:t>.</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findings are consistent with similar studies conducted in other parts of Nigeria. </w:t>
      </w:r>
      <w:proofErr w:type="gramStart"/>
      <w:r w:rsidRPr="00BD7B22">
        <w:rPr>
          <w:rFonts w:ascii="Times New Roman" w:hAnsi="Times New Roman" w:cs="Times New Roman"/>
        </w:rPr>
        <w:t xml:space="preserve">For instance, </w:t>
      </w:r>
      <w:r>
        <w:rPr>
          <w:rFonts w:ascii="Times New Roman" w:hAnsi="Times New Roman" w:cs="Times New Roman"/>
        </w:rPr>
        <w:t>[7].</w:t>
      </w:r>
      <w:proofErr w:type="gramEnd"/>
      <w:r w:rsidRPr="00BD7B22">
        <w:rPr>
          <w:rFonts w:ascii="Times New Roman" w:hAnsi="Times New Roman" w:cs="Times New Roman"/>
        </w:rPr>
        <w:t xml:space="preserve"> </w:t>
      </w:r>
      <w:proofErr w:type="gramStart"/>
      <w:r w:rsidRPr="00BD7B22">
        <w:rPr>
          <w:rFonts w:ascii="Times New Roman" w:hAnsi="Times New Roman" w:cs="Times New Roman"/>
        </w:rPr>
        <w:t>in</w:t>
      </w:r>
      <w:proofErr w:type="gramEnd"/>
      <w:r w:rsidRPr="00BD7B22">
        <w:rPr>
          <w:rFonts w:ascii="Times New Roman" w:hAnsi="Times New Roman" w:cs="Times New Roman"/>
        </w:rPr>
        <w:t xml:space="preserve"> Lagos reported a bacterial prevalence of 82% in burn wounds, with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being the dominant pathogens. Similarly, a st</w:t>
      </w:r>
      <w:r>
        <w:rPr>
          <w:rFonts w:ascii="Times New Roman" w:hAnsi="Times New Roman" w:cs="Times New Roman"/>
        </w:rPr>
        <w:t xml:space="preserve">udy conducted in Benin City by [8] </w:t>
      </w:r>
      <w:r w:rsidRPr="00BD7B22">
        <w:rPr>
          <w:rFonts w:ascii="Times New Roman" w:hAnsi="Times New Roman" w:cs="Times New Roman"/>
        </w:rPr>
        <w:t xml:space="preserve">revealed a bacterial infection rate of 80% in burn wounds, also identifying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as the leading isolate. These similarities across studies highlight the pervasive nature of bacterial infections in Nigerian burn patients and the dominance of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in this context. The prevalence of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in this study aligns with findings from previous Nigerian research. Both pathogens are frequently associated with </w:t>
      </w:r>
      <w:proofErr w:type="spellStart"/>
      <w:r w:rsidRPr="00BD7B22">
        <w:rPr>
          <w:rFonts w:ascii="Times New Roman" w:hAnsi="Times New Roman" w:cs="Times New Roman"/>
        </w:rPr>
        <w:t>nosocomial</w:t>
      </w:r>
      <w:proofErr w:type="spellEnd"/>
      <w:r w:rsidRPr="00BD7B22">
        <w:rPr>
          <w:rFonts w:ascii="Times New Roman" w:hAnsi="Times New Roman" w:cs="Times New Roman"/>
        </w:rPr>
        <w:t xml:space="preserve"> infections and are known to thrive in </w:t>
      </w:r>
      <w:r w:rsidRPr="00BD7B22">
        <w:rPr>
          <w:rFonts w:ascii="Times New Roman" w:hAnsi="Times New Roman" w:cs="Times New Roman"/>
        </w:rPr>
        <w:lastRenderedPageBreak/>
        <w:t xml:space="preserve">hospital environments. For instance, in a study conducted at the University College Hospital, Ibadan, </w:t>
      </w:r>
      <w:r>
        <w:rPr>
          <w:rFonts w:ascii="Times New Roman" w:hAnsi="Times New Roman" w:cs="Times New Roman"/>
        </w:rPr>
        <w:t>[9]</w:t>
      </w:r>
      <w:r w:rsidRPr="00BD7B22">
        <w:rPr>
          <w:rFonts w:ascii="Times New Roman" w:hAnsi="Times New Roman" w:cs="Times New Roman"/>
        </w:rPr>
        <w:t xml:space="preserve"> reported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as the second most prevalent isolate in burn wounds after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Across Africa, similar trends in bacterial prevalence have been observed. For example, in Ghana, </w:t>
      </w:r>
      <w:r>
        <w:rPr>
          <w:rFonts w:ascii="Times New Roman" w:hAnsi="Times New Roman" w:cs="Times New Roman"/>
        </w:rPr>
        <w:t>[10]</w:t>
      </w:r>
      <w:r w:rsidRPr="00BD7B22">
        <w:rPr>
          <w:rFonts w:ascii="Times New Roman" w:hAnsi="Times New Roman" w:cs="Times New Roman"/>
        </w:rPr>
        <w:t xml:space="preserve"> reported a bacterial growth rate of 79% in burn wounds, with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accounting for 50% of isolates, followed by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In </w:t>
      </w:r>
      <w:proofErr w:type="gramStart"/>
      <w:r w:rsidRPr="00BD7B22">
        <w:rPr>
          <w:rFonts w:ascii="Times New Roman" w:hAnsi="Times New Roman" w:cs="Times New Roman"/>
        </w:rPr>
        <w:t>Ethiopia</w:t>
      </w:r>
      <w:r>
        <w:rPr>
          <w:rFonts w:ascii="Times New Roman" w:hAnsi="Times New Roman" w:cs="Times New Roman"/>
        </w:rPr>
        <w:t>[</w:t>
      </w:r>
      <w:proofErr w:type="gramEnd"/>
      <w:r>
        <w:rPr>
          <w:rFonts w:ascii="Times New Roman" w:hAnsi="Times New Roman" w:cs="Times New Roman"/>
        </w:rPr>
        <w:t>11]</w:t>
      </w:r>
      <w:r w:rsidRPr="00BD7B22">
        <w:rPr>
          <w:rFonts w:ascii="Times New Roman" w:hAnsi="Times New Roman" w:cs="Times New Roman"/>
        </w:rPr>
        <w:t xml:space="preserve"> reported an 85% prevalence of bacterial infections in burn wounds, with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being the most commonly identified pathogens. These studies confirm that the bacteriological profile of burn wounds in Nigeria is consistent with broader trends across sub-Saharan Africa. However, slight variations exist. For instance, while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is consistently dominant in Nigerian studies, its prevalence is sometimes lower in East African studies, where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is more commonly isolated. These differences may be attributed to variations in hospital infection control measures, environmental factors, and antibiotic usage patterns. Additionally, the presence of less common isolates like Streptococcus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and Proteus mirabilis in this study may reflect differences in local microbial flora or specific hospital environments.</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antibiotic susceptibility patterns revealed significant resistance among bacterial isolates. While Streptomycin (71.1%) and </w:t>
      </w:r>
      <w:proofErr w:type="spellStart"/>
      <w:r w:rsidRPr="00BD7B22">
        <w:rPr>
          <w:rFonts w:ascii="Times New Roman" w:hAnsi="Times New Roman" w:cs="Times New Roman"/>
        </w:rPr>
        <w:t>Gentamycin</w:t>
      </w:r>
      <w:proofErr w:type="spellEnd"/>
      <w:r w:rsidRPr="00BD7B22">
        <w:rPr>
          <w:rFonts w:ascii="Times New Roman" w:hAnsi="Times New Roman" w:cs="Times New Roman"/>
        </w:rPr>
        <w:t xml:space="preserve"> (57.8%) exhibited the highest susceptibility rates, most antibiotics showed alarmingly high resistance levels. For example, </w:t>
      </w:r>
      <w:proofErr w:type="spellStart"/>
      <w:r w:rsidRPr="00BD7B22">
        <w:rPr>
          <w:rFonts w:ascii="Times New Roman" w:hAnsi="Times New Roman" w:cs="Times New Roman"/>
        </w:rPr>
        <w:t>Pefloxacin</w:t>
      </w:r>
      <w:proofErr w:type="spellEnd"/>
      <w:r w:rsidRPr="00BD7B22">
        <w:rPr>
          <w:rFonts w:ascii="Times New Roman" w:hAnsi="Times New Roman" w:cs="Times New Roman"/>
        </w:rPr>
        <w:t xml:space="preserve"> demonstrated the highest resistance rate at 95.2%, followed by </w:t>
      </w:r>
      <w:proofErr w:type="spellStart"/>
      <w:r w:rsidRPr="00BD7B22">
        <w:rPr>
          <w:rFonts w:ascii="Times New Roman" w:hAnsi="Times New Roman" w:cs="Times New Roman"/>
        </w:rPr>
        <w:t>Ceftazidime</w:t>
      </w:r>
      <w:proofErr w:type="spellEnd"/>
      <w:r w:rsidRPr="00BD7B22">
        <w:rPr>
          <w:rFonts w:ascii="Times New Roman" w:hAnsi="Times New Roman" w:cs="Times New Roman"/>
        </w:rPr>
        <w:t xml:space="preserve"> (89.2%) and </w:t>
      </w:r>
      <w:proofErr w:type="spellStart"/>
      <w:r w:rsidRPr="00BD7B22">
        <w:rPr>
          <w:rFonts w:ascii="Times New Roman" w:hAnsi="Times New Roman" w:cs="Times New Roman"/>
        </w:rPr>
        <w:t>Ceporex</w:t>
      </w:r>
      <w:proofErr w:type="spellEnd"/>
      <w:r w:rsidRPr="00BD7B22">
        <w:rPr>
          <w:rFonts w:ascii="Times New Roman" w:hAnsi="Times New Roman" w:cs="Times New Roman"/>
        </w:rPr>
        <w:t xml:space="preserve"> (88.0%). Resistance to commonly used antibiotics like Ciprofloxacin (66.3%) and Amoxicillin (71.1%) was also substantial. The high levels of antibiotic resistance observed in this study can be attributed to several factors, including overuse and misuse of antibiotics in both hospital and community settings. The frequent and sometimes inappropriate use of broad-spectrum antibiotics, without culture and sensitivity testing, accelerates the development of resistant strains. Pathogens like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possess intrinsic mechanisms of resistance, such as beta-</w:t>
      </w:r>
      <w:proofErr w:type="spellStart"/>
      <w:r w:rsidRPr="00BD7B22">
        <w:rPr>
          <w:rFonts w:ascii="Times New Roman" w:hAnsi="Times New Roman" w:cs="Times New Roman"/>
        </w:rPr>
        <w:t>lactamase</w:t>
      </w:r>
      <w:proofErr w:type="spellEnd"/>
      <w:r w:rsidRPr="00BD7B22">
        <w:rPr>
          <w:rFonts w:ascii="Times New Roman" w:hAnsi="Times New Roman" w:cs="Times New Roman"/>
        </w:rPr>
        <w:t xml:space="preserve"> production, </w:t>
      </w:r>
      <w:r w:rsidRPr="00BD7B22">
        <w:rPr>
          <w:rFonts w:ascii="Times New Roman" w:hAnsi="Times New Roman" w:cs="Times New Roman"/>
        </w:rPr>
        <w:lastRenderedPageBreak/>
        <w:t>which allows them to survive in the presence of beta-</w:t>
      </w:r>
      <w:proofErr w:type="spellStart"/>
      <w:r w:rsidRPr="00BD7B22">
        <w:rPr>
          <w:rFonts w:ascii="Times New Roman" w:hAnsi="Times New Roman" w:cs="Times New Roman"/>
        </w:rPr>
        <w:t>lactam</w:t>
      </w:r>
      <w:proofErr w:type="spellEnd"/>
      <w:r w:rsidRPr="00BD7B22">
        <w:rPr>
          <w:rFonts w:ascii="Times New Roman" w:hAnsi="Times New Roman" w:cs="Times New Roman"/>
        </w:rPr>
        <w:t xml:space="preserve"> antibiotics. Additionally, the ability of bacteria to form </w:t>
      </w:r>
      <w:proofErr w:type="spellStart"/>
      <w:r w:rsidRPr="00BD7B22">
        <w:rPr>
          <w:rFonts w:ascii="Times New Roman" w:hAnsi="Times New Roman" w:cs="Times New Roman"/>
        </w:rPr>
        <w:t>biofilms</w:t>
      </w:r>
      <w:proofErr w:type="spellEnd"/>
      <w:r w:rsidRPr="00BD7B22">
        <w:rPr>
          <w:rFonts w:ascii="Times New Roman" w:hAnsi="Times New Roman" w:cs="Times New Roman"/>
        </w:rPr>
        <w:t xml:space="preserve"> plays a critical role in their resistance to antibiotics. </w:t>
      </w:r>
      <w:proofErr w:type="spellStart"/>
      <w:r w:rsidRPr="00BD7B22">
        <w:rPr>
          <w:rFonts w:ascii="Times New Roman" w:hAnsi="Times New Roman" w:cs="Times New Roman"/>
        </w:rPr>
        <w:t>Biofilms</w:t>
      </w:r>
      <w:proofErr w:type="spellEnd"/>
      <w:r w:rsidRPr="00BD7B22">
        <w:rPr>
          <w:rFonts w:ascii="Times New Roman" w:hAnsi="Times New Roman" w:cs="Times New Roman"/>
        </w:rPr>
        <w:t xml:space="preserve"> protect bacteria from both host immune responses and the action of antimicrobial agents, making infections more difficult to treat. These findings emphasize the need for more precise diagnostic tools and the implementation of targeted antibiotic therapy based on susceptibility patterns.</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These findings align with antibiotic resistance patterns observed in other Nigerian studies. </w:t>
      </w:r>
      <w:r w:rsidR="00BA7FC3">
        <w:rPr>
          <w:rFonts w:ascii="Times New Roman" w:hAnsi="Times New Roman" w:cs="Times New Roman"/>
        </w:rPr>
        <w:t>[7]</w:t>
      </w:r>
      <w:r w:rsidRPr="00BD7B22">
        <w:rPr>
          <w:rFonts w:ascii="Times New Roman" w:hAnsi="Times New Roman" w:cs="Times New Roman"/>
        </w:rPr>
        <w:t xml:space="preserve"> </w:t>
      </w:r>
      <w:proofErr w:type="gramStart"/>
      <w:r w:rsidRPr="00BD7B22">
        <w:rPr>
          <w:rFonts w:ascii="Times New Roman" w:hAnsi="Times New Roman" w:cs="Times New Roman"/>
        </w:rPr>
        <w:t>in</w:t>
      </w:r>
      <w:proofErr w:type="gramEnd"/>
      <w:r w:rsidRPr="00BD7B22">
        <w:rPr>
          <w:rFonts w:ascii="Times New Roman" w:hAnsi="Times New Roman" w:cs="Times New Roman"/>
        </w:rPr>
        <w:t xml:space="preserve"> Lagos reported resistance rates exceeding 80% for </w:t>
      </w:r>
      <w:proofErr w:type="spellStart"/>
      <w:r w:rsidRPr="00BD7B22">
        <w:rPr>
          <w:rFonts w:ascii="Times New Roman" w:hAnsi="Times New Roman" w:cs="Times New Roman"/>
        </w:rPr>
        <w:t>Ceftriaxone</w:t>
      </w:r>
      <w:proofErr w:type="spellEnd"/>
      <w:r w:rsidRPr="00BD7B22">
        <w:rPr>
          <w:rFonts w:ascii="Times New Roman" w:hAnsi="Times New Roman" w:cs="Times New Roman"/>
        </w:rPr>
        <w:t xml:space="preserve"> and Ciprofloxacin, mirroring the trends observed in this study. Similarly, </w:t>
      </w:r>
      <w:r w:rsidR="00BA7FC3">
        <w:rPr>
          <w:rFonts w:ascii="Times New Roman" w:hAnsi="Times New Roman" w:cs="Times New Roman"/>
        </w:rPr>
        <w:t>[10]</w:t>
      </w:r>
      <w:r w:rsidRPr="00BD7B22">
        <w:rPr>
          <w:rFonts w:ascii="Times New Roman" w:hAnsi="Times New Roman" w:cs="Times New Roman"/>
        </w:rPr>
        <w:t xml:space="preserve"> in Ibadan documented high resistance levels to beta-</w:t>
      </w:r>
      <w:proofErr w:type="spellStart"/>
      <w:r w:rsidRPr="00BD7B22">
        <w:rPr>
          <w:rFonts w:ascii="Times New Roman" w:hAnsi="Times New Roman" w:cs="Times New Roman"/>
        </w:rPr>
        <w:t>lactams</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fluoroquinolones</w:t>
      </w:r>
      <w:proofErr w:type="spellEnd"/>
      <w:r w:rsidRPr="00BD7B22">
        <w:rPr>
          <w:rFonts w:ascii="Times New Roman" w:hAnsi="Times New Roman" w:cs="Times New Roman"/>
        </w:rPr>
        <w:t xml:space="preserve"> in burn wound infections. The consistent resistance patterns across Nigerian studies underscore the widespread misuse of antibiotics, lack of antimicrobial stewardship programs, and inadequate regulation of over-the-counter antibiotic sales. The moderate susceptibility to Streptomycin and </w:t>
      </w:r>
      <w:proofErr w:type="spellStart"/>
      <w:r w:rsidRPr="00BD7B22">
        <w:rPr>
          <w:rFonts w:ascii="Times New Roman" w:hAnsi="Times New Roman" w:cs="Times New Roman"/>
        </w:rPr>
        <w:t>Gentamycin</w:t>
      </w:r>
      <w:proofErr w:type="spellEnd"/>
      <w:r w:rsidRPr="00BD7B22">
        <w:rPr>
          <w:rFonts w:ascii="Times New Roman" w:hAnsi="Times New Roman" w:cs="Times New Roman"/>
        </w:rPr>
        <w:t xml:space="preserve"> observed in this study is consistent with previous reports in Nigeria, where these antibiotics remain relatively effective due to their less frequent use compared to broad-spectrum antibiotics. However, the declining susceptibility rates to these drugs highlight the growing challenge of resistance even to less commonly used antibiotics.</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Similar resistance patterns have been observed in other African countries. In Ethiopia, </w:t>
      </w:r>
      <w:r w:rsidR="00BA7FC3">
        <w:rPr>
          <w:rFonts w:ascii="Times New Roman" w:hAnsi="Times New Roman" w:cs="Times New Roman"/>
        </w:rPr>
        <w:t xml:space="preserve">[11] </w:t>
      </w:r>
      <w:r w:rsidRPr="00BD7B22">
        <w:rPr>
          <w:rFonts w:ascii="Times New Roman" w:hAnsi="Times New Roman" w:cs="Times New Roman"/>
        </w:rPr>
        <w:t xml:space="preserve">reported resistance rates of 83% for </w:t>
      </w:r>
      <w:proofErr w:type="spellStart"/>
      <w:r w:rsidRPr="00BD7B22">
        <w:rPr>
          <w:rFonts w:ascii="Times New Roman" w:hAnsi="Times New Roman" w:cs="Times New Roman"/>
        </w:rPr>
        <w:t>Ceftriaxone</w:t>
      </w:r>
      <w:proofErr w:type="spellEnd"/>
      <w:r w:rsidRPr="00BD7B22">
        <w:rPr>
          <w:rFonts w:ascii="Times New Roman" w:hAnsi="Times New Roman" w:cs="Times New Roman"/>
        </w:rPr>
        <w:t xml:space="preserve"> and 65% for Ciprofloxacin, indicating comparable levels of resistance to those observed in Nigeria. In Ghana, </w:t>
      </w:r>
      <w:r w:rsidR="00BA7FC3">
        <w:rPr>
          <w:rFonts w:ascii="Times New Roman" w:hAnsi="Times New Roman" w:cs="Times New Roman"/>
        </w:rPr>
        <w:t>[10]</w:t>
      </w:r>
      <w:r w:rsidRPr="00BD7B22">
        <w:rPr>
          <w:rFonts w:ascii="Times New Roman" w:hAnsi="Times New Roman" w:cs="Times New Roman"/>
        </w:rPr>
        <w:t xml:space="preserve"> noted that while </w:t>
      </w:r>
      <w:proofErr w:type="spellStart"/>
      <w:r w:rsidRPr="00BD7B22">
        <w:rPr>
          <w:rFonts w:ascii="Times New Roman" w:hAnsi="Times New Roman" w:cs="Times New Roman"/>
        </w:rPr>
        <w:t>Gentamycin</w:t>
      </w:r>
      <w:proofErr w:type="spellEnd"/>
      <w:r w:rsidRPr="00BD7B22">
        <w:rPr>
          <w:rFonts w:ascii="Times New Roman" w:hAnsi="Times New Roman" w:cs="Times New Roman"/>
        </w:rPr>
        <w:t xml:space="preserve"> and Streptomycin were among the most effective antibiotics, resistance rates were steadily increasing. These findings suggest that the issue of antibiotic resistance is not confined to Nigeria but reflects broader challenges across Africa. However, the magnitude of resistance varies slightly between regions. For example, studies in East and Southern Africa often report higher resistance rates to </w:t>
      </w:r>
      <w:proofErr w:type="spellStart"/>
      <w:r w:rsidRPr="00BD7B22">
        <w:rPr>
          <w:rFonts w:ascii="Times New Roman" w:hAnsi="Times New Roman" w:cs="Times New Roman"/>
        </w:rPr>
        <w:t>fluoroquinolones</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cephalosporins</w:t>
      </w:r>
      <w:proofErr w:type="spellEnd"/>
      <w:r w:rsidRPr="00BD7B22">
        <w:rPr>
          <w:rFonts w:ascii="Times New Roman" w:hAnsi="Times New Roman" w:cs="Times New Roman"/>
        </w:rPr>
        <w:t xml:space="preserve">, potentially due to differences in prescribing practices and healthcare infrastructure. Conversely, resistance rates to less commonly used antibiotics, such as Streptomycin, are often lower in these regions compared to Nigeria, where </w:t>
      </w:r>
      <w:r w:rsidRPr="00BD7B22">
        <w:rPr>
          <w:rFonts w:ascii="Times New Roman" w:hAnsi="Times New Roman" w:cs="Times New Roman"/>
        </w:rPr>
        <w:lastRenderedPageBreak/>
        <w:t>self-medication and over-the-counter availability of antibiotics are more prevalent.</w:t>
      </w:r>
    </w:p>
    <w:p w:rsidR="003F7782" w:rsidRPr="00BD7B22" w:rsidRDefault="003F7782" w:rsidP="003F7782">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study found that 67.5% of bacterial isolates were multi-drug-resistant (MDR), with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(73.3%)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(72.7%) exhibiting the highest MDR rates.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also demonstrated a high MDR prevalence of 71.1%. Lower MDR rates were observed in Escherichia coli (40.0%), Proteus mirabilis (33.3%), and Streptococcus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(50.0%). The prevalence of MDR isolates in this study is consistent with findings from other Nigerian research. </w:t>
      </w:r>
      <w:r w:rsidR="00BA7FC3">
        <w:rPr>
          <w:rFonts w:ascii="Times New Roman" w:hAnsi="Times New Roman" w:cs="Times New Roman"/>
        </w:rPr>
        <w:t>[7]</w:t>
      </w:r>
      <w:r w:rsidRPr="00BD7B22">
        <w:rPr>
          <w:rFonts w:ascii="Times New Roman" w:hAnsi="Times New Roman" w:cs="Times New Roman"/>
        </w:rPr>
        <w:t xml:space="preserve"> </w:t>
      </w:r>
      <w:proofErr w:type="gramStart"/>
      <w:r w:rsidRPr="00BD7B22">
        <w:rPr>
          <w:rFonts w:ascii="Times New Roman" w:hAnsi="Times New Roman" w:cs="Times New Roman"/>
        </w:rPr>
        <w:t>reported</w:t>
      </w:r>
      <w:proofErr w:type="gramEnd"/>
      <w:r w:rsidRPr="00BD7B22">
        <w:rPr>
          <w:rFonts w:ascii="Times New Roman" w:hAnsi="Times New Roman" w:cs="Times New Roman"/>
        </w:rPr>
        <w:t xml:space="preserve"> an MDR prevalence of 65% in Lagos, with similar resistance patterns in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and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 study in Benin City by </w:t>
      </w:r>
      <w:r w:rsidR="00BA7FC3">
        <w:rPr>
          <w:rFonts w:ascii="Times New Roman" w:hAnsi="Times New Roman" w:cs="Times New Roman"/>
        </w:rPr>
        <w:t>[8]</w:t>
      </w:r>
      <w:r w:rsidRPr="00BD7B22">
        <w:rPr>
          <w:rFonts w:ascii="Times New Roman" w:hAnsi="Times New Roman" w:cs="Times New Roman"/>
        </w:rPr>
        <w:t xml:space="preserve"> also highlighted high MDR rates among burn wound isolates, with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being the most resistant pathogens. These findings reflect the pervasive issue of MDR pathogens in Nigerian healthcare settings, driven by the overuse of antibiotics and inadequate infection control practices. The MDR prevalence observed in this study aligns with reports from other African countries. In Ethiopia, </w:t>
      </w:r>
      <w:r w:rsidR="00BA7FC3">
        <w:rPr>
          <w:rFonts w:ascii="Times New Roman" w:hAnsi="Times New Roman" w:cs="Times New Roman"/>
        </w:rPr>
        <w:t>[11]</w:t>
      </w:r>
      <w:r w:rsidRPr="00BD7B22">
        <w:rPr>
          <w:rFonts w:ascii="Times New Roman" w:hAnsi="Times New Roman" w:cs="Times New Roman"/>
        </w:rPr>
        <w:t xml:space="preserve"> documented MDR rates exceeding 70% for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similar to the findings in this study. In Ghana, </w:t>
      </w:r>
      <w:r w:rsidR="00BA7FC3">
        <w:rPr>
          <w:rFonts w:ascii="Times New Roman" w:hAnsi="Times New Roman" w:cs="Times New Roman"/>
        </w:rPr>
        <w:t>[10]</w:t>
      </w:r>
      <w:r w:rsidRPr="00BD7B22">
        <w:rPr>
          <w:rFonts w:ascii="Times New Roman" w:hAnsi="Times New Roman" w:cs="Times New Roman"/>
        </w:rPr>
        <w:t xml:space="preserve"> reported an MDR prevalence of 68%, with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being the most resistant isolates. These consistent patterns highlight the widespread nature of MDR pathogens in African burn care.</w:t>
      </w:r>
    </w:p>
    <w:p w:rsidR="00BA7FC3" w:rsidRDefault="003F7782" w:rsidP="00BA7FC3">
      <w:pPr>
        <w:spacing w:after="0" w:line="240" w:lineRule="auto"/>
        <w:ind w:left="-142"/>
        <w:jc w:val="both"/>
        <w:rPr>
          <w:rFonts w:ascii="Times New Roman" w:hAnsi="Times New Roman" w:cs="Times New Roman"/>
        </w:rPr>
      </w:pPr>
      <w:r w:rsidRPr="00BD7B22">
        <w:rPr>
          <w:rFonts w:ascii="Times New Roman" w:hAnsi="Times New Roman" w:cs="Times New Roman"/>
        </w:rPr>
        <w:t xml:space="preserve">However, regional differences in MDR prevalence exist. For example, studies in North Africa, such as those conducted in Egypt and Tunisia, often report higher MDR rates for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and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potentially due to differences in healthcare infrastructure and antibiotic prescribing practices. Conversely, MDR rates in some rural African settings may be lower due to limited access to antibiotics, although this often results in poorer overall infection management. The findings of this study underscore the critical challenge posed by MDR pathogens in burn wound infections across Nigeria and Africa. These infections are associated with higher mortality rates, prolonged hospital stays, and increased healthcare costs, highlighting the urgent need for improved </w:t>
      </w:r>
      <w:r w:rsidRPr="00BD7B22">
        <w:rPr>
          <w:rFonts w:ascii="Times New Roman" w:hAnsi="Times New Roman" w:cs="Times New Roman"/>
        </w:rPr>
        <w:lastRenderedPageBreak/>
        <w:t>infection control measures and antimicrobial stewardship programs tailored to the African context.</w:t>
      </w:r>
    </w:p>
    <w:p w:rsidR="00BA7FC3" w:rsidRDefault="00BA7FC3" w:rsidP="00BA7FC3">
      <w:pPr>
        <w:spacing w:after="0" w:line="240" w:lineRule="auto"/>
        <w:ind w:left="-142"/>
        <w:jc w:val="both"/>
        <w:rPr>
          <w:rFonts w:ascii="Times New Roman" w:hAnsi="Times New Roman" w:cs="Times New Roman"/>
        </w:rPr>
      </w:pPr>
    </w:p>
    <w:p w:rsidR="00BA7FC3" w:rsidRDefault="009C4BBA" w:rsidP="00BA7FC3">
      <w:pPr>
        <w:spacing w:after="0" w:line="240" w:lineRule="auto"/>
        <w:ind w:left="-142"/>
        <w:jc w:val="both"/>
        <w:rPr>
          <w:rFonts w:ascii="Times New Roman" w:hAnsi="Times New Roman" w:cs="Times New Roman"/>
        </w:rPr>
      </w:pPr>
      <w:r w:rsidRPr="00BA7FC3">
        <w:rPr>
          <w:rFonts w:ascii="Times New Roman" w:hAnsi="Times New Roman" w:cs="Times New Roman"/>
          <w:b/>
          <w:bCs/>
          <w:sz w:val="20"/>
          <w:szCs w:val="20"/>
        </w:rPr>
        <w:t>CONCLUSION</w:t>
      </w:r>
    </w:p>
    <w:p w:rsidR="00BA7FC3" w:rsidRPr="00BD7B22" w:rsidRDefault="00BA7FC3" w:rsidP="00BA7FC3">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investigation into the bacteriological profile of burn wounds among patients at </w:t>
      </w:r>
      <w:proofErr w:type="spellStart"/>
      <w:r w:rsidRPr="00BD7B22">
        <w:rPr>
          <w:rFonts w:ascii="Times New Roman" w:hAnsi="Times New Roman" w:cs="Times New Roman"/>
        </w:rPr>
        <w:t>Orthopaedics</w:t>
      </w:r>
      <w:proofErr w:type="spellEnd"/>
      <w:r w:rsidRPr="00BD7B22">
        <w:rPr>
          <w:rFonts w:ascii="Times New Roman" w:hAnsi="Times New Roman" w:cs="Times New Roman"/>
        </w:rPr>
        <w:t xml:space="preserve"> Hospital, Enugu, Nigeria, has highlighted significant challenges in managing burn wound infections. The high prevalence of bacterial infections in burn wounds is indicative of the vulnerability of burn patients to both endogenous (skin </w:t>
      </w:r>
      <w:proofErr w:type="spellStart"/>
      <w:r w:rsidRPr="00BD7B22">
        <w:rPr>
          <w:rFonts w:ascii="Times New Roman" w:hAnsi="Times New Roman" w:cs="Times New Roman"/>
        </w:rPr>
        <w:t>commensals</w:t>
      </w:r>
      <w:proofErr w:type="spellEnd"/>
      <w:r w:rsidRPr="00BD7B22">
        <w:rPr>
          <w:rFonts w:ascii="Times New Roman" w:hAnsi="Times New Roman" w:cs="Times New Roman"/>
        </w:rPr>
        <w:t xml:space="preserve">) and exogenous pathogens, facilitated by the disruption of the skin barrier and the </w:t>
      </w:r>
      <w:proofErr w:type="spellStart"/>
      <w:r w:rsidRPr="00BD7B22">
        <w:rPr>
          <w:rFonts w:ascii="Times New Roman" w:hAnsi="Times New Roman" w:cs="Times New Roman"/>
        </w:rPr>
        <w:t>immunocompromised</w:t>
      </w:r>
      <w:proofErr w:type="spellEnd"/>
      <w:r w:rsidRPr="00BD7B22">
        <w:rPr>
          <w:rFonts w:ascii="Times New Roman" w:hAnsi="Times New Roman" w:cs="Times New Roman"/>
        </w:rPr>
        <w:t xml:space="preserve"> state of the patient. The findings of this study align with those of previous studies in Nigeria and sub-Saharan Africa, which similarly report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as the predo</w:t>
      </w:r>
      <w:r>
        <w:rPr>
          <w:rFonts w:ascii="Times New Roman" w:hAnsi="Times New Roman" w:cs="Times New Roman"/>
        </w:rPr>
        <w:t>minant pathogen in burn wounds [7, 10].</w:t>
      </w:r>
      <w:r w:rsidRPr="00BD7B22">
        <w:rPr>
          <w:rFonts w:ascii="Times New Roman" w:hAnsi="Times New Roman" w:cs="Times New Roman"/>
        </w:rPr>
        <w:t xml:space="preserve">This underscores the consistency of microbial profiles in burn wound infections across different settings, with Staphylococcus </w:t>
      </w:r>
      <w:proofErr w:type="spellStart"/>
      <w:r w:rsidRPr="00BD7B22">
        <w:rPr>
          <w:rFonts w:ascii="Times New Roman" w:hAnsi="Times New Roman" w:cs="Times New Roman"/>
        </w:rPr>
        <w:t>aureus</w:t>
      </w:r>
      <w:proofErr w:type="spellEnd"/>
      <w:r w:rsidRPr="00BD7B22">
        <w:rPr>
          <w:rFonts w:ascii="Times New Roman" w:hAnsi="Times New Roman" w:cs="Times New Roman"/>
        </w:rPr>
        <w:t xml:space="preserve">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being the primary culprits.</w:t>
      </w:r>
    </w:p>
    <w:p w:rsidR="00BA7FC3" w:rsidRPr="00BD7B22" w:rsidRDefault="00BA7FC3" w:rsidP="00BA7FC3">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antibiotic susceptibility tests revealed significant resistance across most antibiotics, with only Streptomycin (71.1%) and </w:t>
      </w:r>
      <w:proofErr w:type="spellStart"/>
      <w:r w:rsidRPr="00BD7B22">
        <w:rPr>
          <w:rFonts w:ascii="Times New Roman" w:hAnsi="Times New Roman" w:cs="Times New Roman"/>
        </w:rPr>
        <w:t>Gentamycin</w:t>
      </w:r>
      <w:proofErr w:type="spellEnd"/>
      <w:r w:rsidRPr="00BD7B22">
        <w:rPr>
          <w:rFonts w:ascii="Times New Roman" w:hAnsi="Times New Roman" w:cs="Times New Roman"/>
        </w:rPr>
        <w:t xml:space="preserve"> (57.8%) showing moderate effectiveness. In contrast, antibiotics such as </w:t>
      </w:r>
      <w:proofErr w:type="spellStart"/>
      <w:r w:rsidRPr="00BD7B22">
        <w:rPr>
          <w:rFonts w:ascii="Times New Roman" w:hAnsi="Times New Roman" w:cs="Times New Roman"/>
        </w:rPr>
        <w:t>Pefloxacin</w:t>
      </w:r>
      <w:proofErr w:type="spellEnd"/>
      <w:r w:rsidRPr="00BD7B22">
        <w:rPr>
          <w:rFonts w:ascii="Times New Roman" w:hAnsi="Times New Roman" w:cs="Times New Roman"/>
        </w:rPr>
        <w:t xml:space="preserve"> (95.2%) and </w:t>
      </w:r>
      <w:proofErr w:type="spellStart"/>
      <w:r w:rsidRPr="00BD7B22">
        <w:rPr>
          <w:rFonts w:ascii="Times New Roman" w:hAnsi="Times New Roman" w:cs="Times New Roman"/>
        </w:rPr>
        <w:t>Ceftazidime</w:t>
      </w:r>
      <w:proofErr w:type="spellEnd"/>
      <w:r w:rsidRPr="00BD7B22">
        <w:rPr>
          <w:rFonts w:ascii="Times New Roman" w:hAnsi="Times New Roman" w:cs="Times New Roman"/>
        </w:rPr>
        <w:t xml:space="preserve"> (89.2%) demonstrated alarmingly high resistance rates. These findings highlight the ongoing problem of antibiotic misuse in Nigerian healthcare settings, as similar studies have indicated widespread resistance to commonly used antibiotics like Ciprofloxacin and </w:t>
      </w:r>
      <w:proofErr w:type="spellStart"/>
      <w:r w:rsidRPr="00BD7B22">
        <w:rPr>
          <w:rFonts w:ascii="Times New Roman" w:hAnsi="Times New Roman" w:cs="Times New Roman"/>
        </w:rPr>
        <w:t>Ceftriaxone</w:t>
      </w:r>
      <w:proofErr w:type="spellEnd"/>
      <w:r w:rsidRPr="00BD7B22">
        <w:rPr>
          <w:rFonts w:ascii="Times New Roman" w:hAnsi="Times New Roman" w:cs="Times New Roman"/>
        </w:rPr>
        <w:t xml:space="preserve"> </w:t>
      </w:r>
      <w:r>
        <w:rPr>
          <w:rFonts w:ascii="Times New Roman" w:hAnsi="Times New Roman" w:cs="Times New Roman"/>
        </w:rPr>
        <w:t>[7</w:t>
      </w:r>
      <w:proofErr w:type="gramStart"/>
      <w:r>
        <w:rPr>
          <w:rFonts w:ascii="Times New Roman" w:hAnsi="Times New Roman" w:cs="Times New Roman"/>
        </w:rPr>
        <w:t>,11</w:t>
      </w:r>
      <w:proofErr w:type="gramEnd"/>
      <w:r>
        <w:rPr>
          <w:rFonts w:ascii="Times New Roman" w:hAnsi="Times New Roman" w:cs="Times New Roman"/>
        </w:rPr>
        <w:t>].</w:t>
      </w:r>
      <w:r w:rsidRPr="00BD7B22">
        <w:rPr>
          <w:rFonts w:ascii="Times New Roman" w:hAnsi="Times New Roman" w:cs="Times New Roman"/>
        </w:rPr>
        <w:t xml:space="preserve"> Such high resistance rates are likely a result of self-medication, inappropriate prescribing, and inadequate infection control practices, which foster the development of resistant strains.</w:t>
      </w:r>
    </w:p>
    <w:p w:rsidR="00BA7FC3" w:rsidRDefault="00BA7FC3" w:rsidP="00BA7FC3">
      <w:pPr>
        <w:spacing w:after="0" w:line="240" w:lineRule="auto"/>
        <w:ind w:left="-142"/>
        <w:jc w:val="both"/>
        <w:rPr>
          <w:rFonts w:ascii="Times New Roman" w:hAnsi="Times New Roman" w:cs="Times New Roman"/>
        </w:rPr>
      </w:pPr>
      <w:r w:rsidRPr="00BD7B22">
        <w:rPr>
          <w:rFonts w:ascii="Times New Roman" w:hAnsi="Times New Roman" w:cs="Times New Roman"/>
        </w:rPr>
        <w:t xml:space="preserve">The study also found that 67.5% of bacterial isolates were multi-drug-resistant (MDR), with the highest MDR rates observed in </w:t>
      </w:r>
      <w:proofErr w:type="spellStart"/>
      <w:r w:rsidRPr="00BD7B22">
        <w:rPr>
          <w:rFonts w:ascii="Times New Roman" w:hAnsi="Times New Roman" w:cs="Times New Roman"/>
        </w:rPr>
        <w:t>Klebsiella</w:t>
      </w:r>
      <w:proofErr w:type="spellEnd"/>
      <w:r w:rsidRPr="00BD7B22">
        <w:rPr>
          <w:rFonts w:ascii="Times New Roman" w:hAnsi="Times New Roman" w:cs="Times New Roman"/>
        </w:rPr>
        <w:t xml:space="preserve"> </w:t>
      </w:r>
      <w:proofErr w:type="spellStart"/>
      <w:r w:rsidRPr="00BD7B22">
        <w:rPr>
          <w:rFonts w:ascii="Times New Roman" w:hAnsi="Times New Roman" w:cs="Times New Roman"/>
        </w:rPr>
        <w:t>pneumoniae</w:t>
      </w:r>
      <w:proofErr w:type="spellEnd"/>
      <w:r w:rsidRPr="00BD7B22">
        <w:rPr>
          <w:rFonts w:ascii="Times New Roman" w:hAnsi="Times New Roman" w:cs="Times New Roman"/>
        </w:rPr>
        <w:t xml:space="preserve"> (73.3%) and Pseudomonas </w:t>
      </w:r>
      <w:proofErr w:type="spellStart"/>
      <w:r w:rsidRPr="00BD7B22">
        <w:rPr>
          <w:rFonts w:ascii="Times New Roman" w:hAnsi="Times New Roman" w:cs="Times New Roman"/>
        </w:rPr>
        <w:t>aeruginosa</w:t>
      </w:r>
      <w:proofErr w:type="spellEnd"/>
      <w:r w:rsidRPr="00BD7B22">
        <w:rPr>
          <w:rFonts w:ascii="Times New Roman" w:hAnsi="Times New Roman" w:cs="Times New Roman"/>
        </w:rPr>
        <w:t xml:space="preserve"> (72.7%). These findings are consistent with other studies in Nigeria and sub-Saharan Africa, where MDR pathogens have become a significant challenge in burn wound </w:t>
      </w:r>
      <w:proofErr w:type="gramStart"/>
      <w:r w:rsidRPr="00BD7B22">
        <w:rPr>
          <w:rFonts w:ascii="Times New Roman" w:hAnsi="Times New Roman" w:cs="Times New Roman"/>
        </w:rPr>
        <w:t>management</w:t>
      </w:r>
      <w:r>
        <w:rPr>
          <w:rFonts w:ascii="Times New Roman" w:hAnsi="Times New Roman" w:cs="Times New Roman"/>
        </w:rPr>
        <w:t>[</w:t>
      </w:r>
      <w:proofErr w:type="gramEnd"/>
      <w:r>
        <w:rPr>
          <w:rFonts w:ascii="Times New Roman" w:hAnsi="Times New Roman" w:cs="Times New Roman"/>
        </w:rPr>
        <w:t>10,11]</w:t>
      </w:r>
      <w:r w:rsidRPr="00BD7B22">
        <w:rPr>
          <w:rFonts w:ascii="Times New Roman" w:hAnsi="Times New Roman" w:cs="Times New Roman"/>
        </w:rPr>
        <w:t xml:space="preserve">. The prevalence of MDR bacteria highlights the limited therapeutic options available for burn wound infections and calls for </w:t>
      </w:r>
      <w:r w:rsidRPr="00BD7B22">
        <w:rPr>
          <w:rFonts w:ascii="Times New Roman" w:hAnsi="Times New Roman" w:cs="Times New Roman"/>
        </w:rPr>
        <w:lastRenderedPageBreak/>
        <w:t>urgent intervention to curb the spread of resistance.</w:t>
      </w:r>
    </w:p>
    <w:p w:rsidR="009C4BBA" w:rsidRPr="00A4375E" w:rsidRDefault="009C4BBA" w:rsidP="009C4BBA">
      <w:pPr>
        <w:spacing w:line="240" w:lineRule="auto"/>
        <w:jc w:val="both"/>
        <w:rPr>
          <w:rFonts w:ascii="Times New Roman" w:eastAsia="Times New Roman" w:hAnsi="Times New Roman" w:cs="Times New Roman"/>
          <w:sz w:val="20"/>
          <w:szCs w:val="20"/>
        </w:rPr>
      </w:pPr>
    </w:p>
    <w:p w:rsidR="009C4BBA" w:rsidRDefault="009C4BBA" w:rsidP="009C4BBA">
      <w:pPr>
        <w:spacing w:after="0" w:line="240" w:lineRule="auto"/>
        <w:jc w:val="both"/>
        <w:rPr>
          <w:rFonts w:ascii="Times New Roman" w:eastAsia="+mn-ea" w:hAnsi="Times New Roman" w:cs="Times New Roman"/>
          <w:b/>
          <w:sz w:val="20"/>
          <w:szCs w:val="20"/>
        </w:rPr>
      </w:pPr>
      <w:r w:rsidRPr="006E48EC">
        <w:rPr>
          <w:rFonts w:ascii="Times New Roman" w:eastAsia="+mn-ea" w:hAnsi="Times New Roman" w:cs="Times New Roman"/>
          <w:b/>
          <w:sz w:val="20"/>
          <w:szCs w:val="20"/>
        </w:rPr>
        <w:t>REFERENCES</w:t>
      </w:r>
    </w:p>
    <w:p w:rsidR="009C4BBA" w:rsidRPr="006E48EC" w:rsidRDefault="009C4BBA" w:rsidP="009C4BBA">
      <w:pPr>
        <w:spacing w:after="0" w:line="240" w:lineRule="auto"/>
        <w:jc w:val="both"/>
        <w:rPr>
          <w:rFonts w:ascii="Times New Roman" w:eastAsia="+mn-ea" w:hAnsi="Times New Roman" w:cs="Times New Roman"/>
          <w:b/>
          <w:sz w:val="20"/>
          <w:szCs w:val="20"/>
        </w:rPr>
      </w:pPr>
    </w:p>
    <w:p w:rsidR="00BA7FC3" w:rsidRDefault="00BA7FC3" w:rsidP="00BA7FC3">
      <w:pPr>
        <w:pStyle w:val="ListParagraph"/>
        <w:spacing w:line="360" w:lineRule="auto"/>
        <w:ind w:left="421"/>
        <w:jc w:val="both"/>
        <w:rPr>
          <w:rFonts w:ascii="Times New Roman" w:hAnsi="Times New Roman" w:cs="Times New Roman"/>
        </w:rPr>
      </w:pPr>
    </w:p>
    <w:p w:rsidR="00BA7FC3" w:rsidRDefault="00BA7FC3" w:rsidP="00BA7FC3">
      <w:pPr>
        <w:pStyle w:val="ListParagraph"/>
        <w:numPr>
          <w:ilvl w:val="0"/>
          <w:numId w:val="2"/>
        </w:numPr>
        <w:spacing w:line="360" w:lineRule="auto"/>
        <w:jc w:val="both"/>
        <w:rPr>
          <w:rFonts w:ascii="Times New Roman" w:hAnsi="Times New Roman" w:cs="Times New Roman"/>
        </w:rPr>
      </w:pPr>
      <w:r w:rsidRPr="00BA7FC3">
        <w:rPr>
          <w:rFonts w:ascii="Times New Roman" w:hAnsi="Times New Roman" w:cs="Times New Roman"/>
        </w:rPr>
        <w:t xml:space="preserve">Church, D., </w:t>
      </w:r>
      <w:proofErr w:type="spellStart"/>
      <w:r w:rsidRPr="00BA7FC3">
        <w:rPr>
          <w:rFonts w:ascii="Times New Roman" w:hAnsi="Times New Roman" w:cs="Times New Roman"/>
        </w:rPr>
        <w:t>Elsayed</w:t>
      </w:r>
      <w:proofErr w:type="spellEnd"/>
      <w:r w:rsidRPr="00BA7FC3">
        <w:rPr>
          <w:rFonts w:ascii="Times New Roman" w:hAnsi="Times New Roman" w:cs="Times New Roman"/>
        </w:rPr>
        <w:t>, S., Reid, O., Winston, B., &amp; Lindsay, R. (2006</w:t>
      </w:r>
      <w:r w:rsidRPr="00BA7FC3">
        <w:rPr>
          <w:rFonts w:ascii="Times New Roman" w:hAnsi="Times New Roman" w:cs="Times New Roman"/>
          <w:i/>
          <w:iCs/>
        </w:rPr>
        <w:t>). Burn wound infections</w:t>
      </w:r>
      <w:r w:rsidRPr="00BA7FC3">
        <w:rPr>
          <w:rFonts w:ascii="Times New Roman" w:hAnsi="Times New Roman" w:cs="Times New Roman"/>
        </w:rPr>
        <w:t>. Clinical microbiology reviews, </w:t>
      </w:r>
      <w:r w:rsidRPr="00BA7FC3">
        <w:rPr>
          <w:rFonts w:ascii="Times New Roman" w:hAnsi="Times New Roman" w:cs="Times New Roman"/>
          <w:i/>
          <w:iCs/>
        </w:rPr>
        <w:t>19</w:t>
      </w:r>
      <w:r w:rsidRPr="00BA7FC3">
        <w:rPr>
          <w:rFonts w:ascii="Times New Roman" w:hAnsi="Times New Roman" w:cs="Times New Roman"/>
        </w:rPr>
        <w:t xml:space="preserve">(2), 403–434. </w:t>
      </w:r>
    </w:p>
    <w:p w:rsidR="00BA7FC3" w:rsidRDefault="00BA7FC3" w:rsidP="00BA7FC3">
      <w:pPr>
        <w:pStyle w:val="ListParagraph"/>
        <w:numPr>
          <w:ilvl w:val="0"/>
          <w:numId w:val="2"/>
        </w:numPr>
        <w:spacing w:line="360" w:lineRule="auto"/>
        <w:jc w:val="both"/>
        <w:rPr>
          <w:rFonts w:ascii="Times New Roman" w:hAnsi="Times New Roman" w:cs="Times New Roman"/>
        </w:rPr>
      </w:pPr>
      <w:proofErr w:type="spellStart"/>
      <w:r w:rsidRPr="00BA7FC3">
        <w:rPr>
          <w:rFonts w:ascii="Times New Roman" w:hAnsi="Times New Roman" w:cs="Times New Roman"/>
        </w:rPr>
        <w:t>Jeschke</w:t>
      </w:r>
      <w:proofErr w:type="spellEnd"/>
      <w:r w:rsidRPr="00BA7FC3">
        <w:rPr>
          <w:rFonts w:ascii="Times New Roman" w:hAnsi="Times New Roman" w:cs="Times New Roman"/>
        </w:rPr>
        <w:t xml:space="preserve">, M. G. (2023). </w:t>
      </w:r>
      <w:r w:rsidRPr="00BA7FC3">
        <w:rPr>
          <w:rFonts w:ascii="Times New Roman" w:hAnsi="Times New Roman" w:cs="Times New Roman"/>
          <w:i/>
          <w:iCs/>
        </w:rPr>
        <w:t>Burn wound infection: A review</w:t>
      </w:r>
      <w:r w:rsidRPr="00BA7FC3">
        <w:rPr>
          <w:rFonts w:ascii="Times New Roman" w:hAnsi="Times New Roman" w:cs="Times New Roman"/>
        </w:rPr>
        <w:t>. Burns, 39(1), 1-8</w:t>
      </w:r>
    </w:p>
    <w:p w:rsidR="0015528B" w:rsidRDefault="0015528B" w:rsidP="0015528B">
      <w:pPr>
        <w:pStyle w:val="ListParagraph"/>
        <w:numPr>
          <w:ilvl w:val="0"/>
          <w:numId w:val="2"/>
        </w:numPr>
        <w:spacing w:line="360" w:lineRule="auto"/>
        <w:jc w:val="both"/>
        <w:rPr>
          <w:rFonts w:ascii="Times New Roman" w:hAnsi="Times New Roman" w:cs="Times New Roman"/>
        </w:rPr>
      </w:pPr>
      <w:r w:rsidRPr="00BA7FC3">
        <w:rPr>
          <w:rFonts w:ascii="Times New Roman" w:hAnsi="Times New Roman" w:cs="Times New Roman"/>
        </w:rPr>
        <w:t xml:space="preserve">Field, A. (2018). </w:t>
      </w:r>
      <w:r w:rsidRPr="00BA7FC3">
        <w:rPr>
          <w:rStyle w:val="Emphasis"/>
          <w:rFonts w:ascii="Times New Roman" w:eastAsiaTheme="majorEastAsia" w:hAnsi="Times New Roman" w:cs="Times New Roman"/>
        </w:rPr>
        <w:t>Discovering Statistics Using IBM SPSS Statistics</w:t>
      </w:r>
      <w:r w:rsidRPr="00BA7FC3">
        <w:rPr>
          <w:rFonts w:ascii="Times New Roman" w:hAnsi="Times New Roman" w:cs="Times New Roman"/>
        </w:rPr>
        <w:t>. 5th ed. Thousand Oaks, CA: Sage Publications.</w:t>
      </w:r>
    </w:p>
    <w:p w:rsidR="0015528B" w:rsidRPr="0015528B" w:rsidRDefault="0015528B" w:rsidP="0015528B">
      <w:pPr>
        <w:pStyle w:val="ListParagraph"/>
        <w:numPr>
          <w:ilvl w:val="0"/>
          <w:numId w:val="2"/>
        </w:numPr>
        <w:spacing w:line="360" w:lineRule="auto"/>
        <w:jc w:val="both"/>
        <w:rPr>
          <w:rFonts w:ascii="Times New Roman" w:hAnsi="Times New Roman" w:cs="Times New Roman"/>
        </w:rPr>
      </w:pPr>
      <w:proofErr w:type="spellStart"/>
      <w:r w:rsidRPr="00BA7FC3">
        <w:rPr>
          <w:rFonts w:ascii="Times New Roman" w:hAnsi="Times New Roman" w:cs="Times New Roman"/>
        </w:rPr>
        <w:t>Bryman</w:t>
      </w:r>
      <w:proofErr w:type="spellEnd"/>
      <w:r w:rsidRPr="00BA7FC3">
        <w:rPr>
          <w:rFonts w:ascii="Times New Roman" w:hAnsi="Times New Roman" w:cs="Times New Roman"/>
        </w:rPr>
        <w:t xml:space="preserve">, A., &amp; Cramer, D. (2012). </w:t>
      </w:r>
      <w:r w:rsidRPr="00BA7FC3">
        <w:rPr>
          <w:rStyle w:val="Emphasis"/>
          <w:rFonts w:ascii="Times New Roman" w:eastAsiaTheme="majorEastAsia" w:hAnsi="Times New Roman" w:cs="Times New Roman"/>
        </w:rPr>
        <w:t>Quantitative Data Analysis with IBM SPSS 17, 18 &amp; 19</w:t>
      </w:r>
      <w:r w:rsidRPr="00BA7FC3">
        <w:rPr>
          <w:rFonts w:ascii="Times New Roman" w:hAnsi="Times New Roman" w:cs="Times New Roman"/>
        </w:rPr>
        <w:t xml:space="preserve">. 2nd </w:t>
      </w:r>
      <w:proofErr w:type="gramStart"/>
      <w:r w:rsidRPr="00BA7FC3">
        <w:rPr>
          <w:rFonts w:ascii="Times New Roman" w:hAnsi="Times New Roman" w:cs="Times New Roman"/>
        </w:rPr>
        <w:t>ed</w:t>
      </w:r>
      <w:proofErr w:type="gramEnd"/>
      <w:r w:rsidRPr="00BA7FC3">
        <w:rPr>
          <w:rFonts w:ascii="Times New Roman" w:hAnsi="Times New Roman" w:cs="Times New Roman"/>
        </w:rPr>
        <w:t xml:space="preserve">. New York: </w:t>
      </w:r>
      <w:proofErr w:type="spellStart"/>
      <w:r w:rsidRPr="00BA7FC3">
        <w:rPr>
          <w:rFonts w:ascii="Times New Roman" w:hAnsi="Times New Roman" w:cs="Times New Roman"/>
        </w:rPr>
        <w:t>Routledge</w:t>
      </w:r>
      <w:proofErr w:type="spellEnd"/>
      <w:r w:rsidRPr="00BA7FC3">
        <w:rPr>
          <w:rFonts w:ascii="Times New Roman" w:hAnsi="Times New Roman" w:cs="Times New Roman"/>
        </w:rPr>
        <w:t>.</w:t>
      </w:r>
    </w:p>
    <w:p w:rsidR="00BA7FC3" w:rsidRPr="0015528B" w:rsidRDefault="0015528B" w:rsidP="0015528B">
      <w:pPr>
        <w:pStyle w:val="ListParagraph"/>
        <w:numPr>
          <w:ilvl w:val="0"/>
          <w:numId w:val="2"/>
        </w:numPr>
        <w:spacing w:line="360" w:lineRule="auto"/>
        <w:jc w:val="both"/>
        <w:rPr>
          <w:rFonts w:ascii="Times New Roman" w:hAnsi="Times New Roman" w:cs="Times New Roman"/>
        </w:rPr>
      </w:pPr>
      <w:proofErr w:type="spellStart"/>
      <w:r w:rsidRPr="0015528B">
        <w:rPr>
          <w:rFonts w:ascii="Times New Roman" w:hAnsi="Times New Roman" w:cs="Times New Roman"/>
        </w:rPr>
        <w:t>Pallant</w:t>
      </w:r>
      <w:proofErr w:type="spellEnd"/>
      <w:r w:rsidRPr="0015528B">
        <w:rPr>
          <w:rFonts w:ascii="Times New Roman" w:hAnsi="Times New Roman" w:cs="Times New Roman"/>
        </w:rPr>
        <w:t xml:space="preserve">, J. (2020). </w:t>
      </w:r>
      <w:r w:rsidRPr="0015528B">
        <w:rPr>
          <w:rStyle w:val="Emphasis"/>
          <w:rFonts w:ascii="Times New Roman" w:eastAsiaTheme="majorEastAsia" w:hAnsi="Times New Roman" w:cs="Times New Roman"/>
        </w:rPr>
        <w:t>SPSS Survival Manual</w:t>
      </w:r>
      <w:r w:rsidRPr="0015528B">
        <w:rPr>
          <w:rFonts w:ascii="Times New Roman" w:hAnsi="Times New Roman" w:cs="Times New Roman"/>
        </w:rPr>
        <w:t>. 7th ed. Maidenhead: Open University Press</w:t>
      </w:r>
    </w:p>
    <w:p w:rsidR="0015528B" w:rsidRPr="00BA7FC3" w:rsidRDefault="0015528B" w:rsidP="0015528B">
      <w:pPr>
        <w:pStyle w:val="ListParagraph"/>
        <w:numPr>
          <w:ilvl w:val="0"/>
          <w:numId w:val="2"/>
        </w:numPr>
        <w:spacing w:line="360" w:lineRule="auto"/>
        <w:jc w:val="both"/>
        <w:rPr>
          <w:rFonts w:ascii="Times New Roman" w:hAnsi="Times New Roman" w:cs="Times New Roman"/>
        </w:rPr>
      </w:pPr>
      <w:proofErr w:type="spellStart"/>
      <w:r w:rsidRPr="00BA7FC3">
        <w:rPr>
          <w:rFonts w:ascii="Times New Roman" w:hAnsi="Times New Roman" w:cs="Times New Roman"/>
        </w:rPr>
        <w:t>Edoho</w:t>
      </w:r>
      <w:proofErr w:type="spellEnd"/>
      <w:r w:rsidRPr="00BA7FC3">
        <w:rPr>
          <w:rFonts w:ascii="Times New Roman" w:hAnsi="Times New Roman" w:cs="Times New Roman"/>
        </w:rPr>
        <w:t xml:space="preserve">, A., </w:t>
      </w:r>
      <w:proofErr w:type="spellStart"/>
      <w:r w:rsidRPr="00BA7FC3">
        <w:rPr>
          <w:rFonts w:ascii="Times New Roman" w:hAnsi="Times New Roman" w:cs="Times New Roman"/>
        </w:rPr>
        <w:t>Ekanem</w:t>
      </w:r>
      <w:proofErr w:type="spellEnd"/>
      <w:r w:rsidRPr="00BA7FC3">
        <w:rPr>
          <w:rFonts w:ascii="Times New Roman" w:hAnsi="Times New Roman" w:cs="Times New Roman"/>
        </w:rPr>
        <w:t xml:space="preserve">, E. and </w:t>
      </w:r>
      <w:proofErr w:type="spellStart"/>
      <w:r w:rsidRPr="00BA7FC3">
        <w:rPr>
          <w:rFonts w:ascii="Times New Roman" w:hAnsi="Times New Roman" w:cs="Times New Roman"/>
        </w:rPr>
        <w:t>Bassey</w:t>
      </w:r>
      <w:proofErr w:type="spellEnd"/>
      <w:r w:rsidRPr="00BA7FC3">
        <w:rPr>
          <w:rFonts w:ascii="Times New Roman" w:hAnsi="Times New Roman" w:cs="Times New Roman"/>
        </w:rPr>
        <w:t xml:space="preserve">, O., (2023). Multi-drug resistance patterns in burn wound infections in tertiary hospitals. </w:t>
      </w:r>
      <w:r w:rsidRPr="00BA7FC3">
        <w:rPr>
          <w:rFonts w:ascii="Times New Roman" w:hAnsi="Times New Roman" w:cs="Times New Roman"/>
          <w:i/>
          <w:iCs/>
        </w:rPr>
        <w:t>African Journal of Clinical Microbiology</w:t>
      </w:r>
      <w:r w:rsidRPr="00BA7FC3">
        <w:rPr>
          <w:rFonts w:ascii="Times New Roman" w:hAnsi="Times New Roman" w:cs="Times New Roman"/>
        </w:rPr>
        <w:t>, 15(3), pp.180-195.</w:t>
      </w:r>
    </w:p>
    <w:p w:rsidR="00BA7FC3" w:rsidRPr="0015528B" w:rsidRDefault="00BA7FC3" w:rsidP="0015528B">
      <w:pPr>
        <w:pStyle w:val="ListParagraph"/>
        <w:numPr>
          <w:ilvl w:val="0"/>
          <w:numId w:val="2"/>
        </w:numPr>
        <w:spacing w:line="360" w:lineRule="auto"/>
        <w:jc w:val="both"/>
        <w:rPr>
          <w:rFonts w:ascii="Times New Roman" w:hAnsi="Times New Roman" w:cs="Times New Roman"/>
        </w:rPr>
      </w:pPr>
      <w:proofErr w:type="spellStart"/>
      <w:r w:rsidRPr="00BA7FC3">
        <w:rPr>
          <w:rFonts w:ascii="Times New Roman" w:hAnsi="Times New Roman" w:cs="Times New Roman"/>
        </w:rPr>
        <w:t>Osifo</w:t>
      </w:r>
      <w:proofErr w:type="spellEnd"/>
      <w:r w:rsidRPr="00BA7FC3">
        <w:rPr>
          <w:rFonts w:ascii="Times New Roman" w:hAnsi="Times New Roman" w:cs="Times New Roman"/>
        </w:rPr>
        <w:t xml:space="preserve">, U.O. and </w:t>
      </w:r>
      <w:proofErr w:type="spellStart"/>
      <w:r w:rsidRPr="00BA7FC3">
        <w:rPr>
          <w:rFonts w:ascii="Times New Roman" w:hAnsi="Times New Roman" w:cs="Times New Roman"/>
        </w:rPr>
        <w:t>Aghahowa</w:t>
      </w:r>
      <w:proofErr w:type="spellEnd"/>
      <w:r w:rsidRPr="00BA7FC3">
        <w:rPr>
          <w:rFonts w:ascii="Times New Roman" w:hAnsi="Times New Roman" w:cs="Times New Roman"/>
        </w:rPr>
        <w:t xml:space="preserve">, S.E., (2019). Bacterial flora and antibiotic susceptibility profiles in burn wound infections in Benin City, Nigeria. </w:t>
      </w:r>
      <w:r w:rsidRPr="00BA7FC3">
        <w:rPr>
          <w:rFonts w:ascii="Times New Roman" w:hAnsi="Times New Roman" w:cs="Times New Roman"/>
          <w:i/>
          <w:iCs/>
        </w:rPr>
        <w:t>West African Journal of Medicine</w:t>
      </w:r>
      <w:r w:rsidRPr="00BA7FC3">
        <w:rPr>
          <w:rFonts w:ascii="Times New Roman" w:hAnsi="Times New Roman" w:cs="Times New Roman"/>
        </w:rPr>
        <w:t>, 38(5), pp.232-239.</w:t>
      </w:r>
    </w:p>
    <w:p w:rsidR="00BA7FC3" w:rsidRDefault="00BA7FC3" w:rsidP="00BA7FC3">
      <w:pPr>
        <w:pStyle w:val="ListParagraph"/>
        <w:numPr>
          <w:ilvl w:val="0"/>
          <w:numId w:val="2"/>
        </w:numPr>
        <w:spacing w:line="360" w:lineRule="auto"/>
        <w:jc w:val="both"/>
        <w:rPr>
          <w:rFonts w:ascii="Times New Roman" w:hAnsi="Times New Roman" w:cs="Times New Roman"/>
        </w:rPr>
      </w:pPr>
      <w:proofErr w:type="spellStart"/>
      <w:r w:rsidRPr="00BA7FC3">
        <w:rPr>
          <w:rFonts w:ascii="Times New Roman" w:hAnsi="Times New Roman" w:cs="Times New Roman"/>
        </w:rPr>
        <w:t>Oguntibeju</w:t>
      </w:r>
      <w:proofErr w:type="spellEnd"/>
      <w:r w:rsidRPr="00BA7FC3">
        <w:rPr>
          <w:rFonts w:ascii="Times New Roman" w:hAnsi="Times New Roman" w:cs="Times New Roman"/>
        </w:rPr>
        <w:t xml:space="preserve">, O.O., </w:t>
      </w:r>
      <w:proofErr w:type="spellStart"/>
      <w:r w:rsidRPr="00BA7FC3">
        <w:rPr>
          <w:rFonts w:ascii="Times New Roman" w:hAnsi="Times New Roman" w:cs="Times New Roman"/>
        </w:rPr>
        <w:t>Adeniran</w:t>
      </w:r>
      <w:proofErr w:type="spellEnd"/>
      <w:r w:rsidRPr="00BA7FC3">
        <w:rPr>
          <w:rFonts w:ascii="Times New Roman" w:hAnsi="Times New Roman" w:cs="Times New Roman"/>
        </w:rPr>
        <w:t xml:space="preserve">, A.I. and </w:t>
      </w:r>
      <w:proofErr w:type="spellStart"/>
      <w:r w:rsidRPr="00BA7FC3">
        <w:rPr>
          <w:rFonts w:ascii="Times New Roman" w:hAnsi="Times New Roman" w:cs="Times New Roman"/>
        </w:rPr>
        <w:t>Aghodzo</w:t>
      </w:r>
      <w:proofErr w:type="spellEnd"/>
      <w:r w:rsidRPr="00BA7FC3">
        <w:rPr>
          <w:rFonts w:ascii="Times New Roman" w:hAnsi="Times New Roman" w:cs="Times New Roman"/>
        </w:rPr>
        <w:t xml:space="preserve">, M.A., (2020). Prevalence and antibiotic resistance profiles of bacterial isolates in burn patients. </w:t>
      </w:r>
      <w:r w:rsidRPr="00BA7FC3">
        <w:rPr>
          <w:rFonts w:ascii="Times New Roman" w:hAnsi="Times New Roman" w:cs="Times New Roman"/>
          <w:i/>
          <w:iCs/>
        </w:rPr>
        <w:t xml:space="preserve">African Journal of </w:t>
      </w:r>
      <w:r w:rsidRPr="00BA7FC3">
        <w:rPr>
          <w:rFonts w:ascii="Times New Roman" w:hAnsi="Times New Roman" w:cs="Times New Roman"/>
          <w:i/>
          <w:iCs/>
        </w:rPr>
        <w:lastRenderedPageBreak/>
        <w:t>Microbiology Research</w:t>
      </w:r>
      <w:r w:rsidRPr="00BA7FC3">
        <w:rPr>
          <w:rFonts w:ascii="Times New Roman" w:hAnsi="Times New Roman" w:cs="Times New Roman"/>
        </w:rPr>
        <w:t>, 14(11), pp.401-411.</w:t>
      </w:r>
    </w:p>
    <w:p w:rsidR="0015528B" w:rsidRPr="00BA7FC3" w:rsidRDefault="0015528B" w:rsidP="00BA7FC3">
      <w:pPr>
        <w:pStyle w:val="ListParagraph"/>
        <w:numPr>
          <w:ilvl w:val="0"/>
          <w:numId w:val="2"/>
        </w:numPr>
        <w:spacing w:line="360" w:lineRule="auto"/>
        <w:jc w:val="both"/>
        <w:rPr>
          <w:rFonts w:ascii="Times New Roman" w:hAnsi="Times New Roman" w:cs="Times New Roman"/>
        </w:rPr>
      </w:pPr>
      <w:proofErr w:type="spellStart"/>
      <w:r w:rsidRPr="0015528B">
        <w:rPr>
          <w:rFonts w:ascii="Times New Roman" w:hAnsi="Times New Roman" w:cs="Times New Roman"/>
        </w:rPr>
        <w:t>Quarcoo</w:t>
      </w:r>
      <w:proofErr w:type="spellEnd"/>
      <w:r w:rsidRPr="0015528B">
        <w:rPr>
          <w:rFonts w:ascii="Times New Roman" w:hAnsi="Times New Roman" w:cs="Times New Roman"/>
        </w:rPr>
        <w:t xml:space="preserve">, E., </w:t>
      </w:r>
      <w:proofErr w:type="spellStart"/>
      <w:r w:rsidRPr="0015528B">
        <w:rPr>
          <w:rFonts w:ascii="Times New Roman" w:hAnsi="Times New Roman" w:cs="Times New Roman"/>
        </w:rPr>
        <w:t>Mensah</w:t>
      </w:r>
      <w:proofErr w:type="spellEnd"/>
      <w:r w:rsidRPr="0015528B">
        <w:rPr>
          <w:rFonts w:ascii="Times New Roman" w:hAnsi="Times New Roman" w:cs="Times New Roman"/>
        </w:rPr>
        <w:t xml:space="preserve">, P. and </w:t>
      </w:r>
      <w:proofErr w:type="spellStart"/>
      <w:r w:rsidRPr="0015528B">
        <w:rPr>
          <w:rFonts w:ascii="Times New Roman" w:hAnsi="Times New Roman" w:cs="Times New Roman"/>
        </w:rPr>
        <w:t>Ampadu</w:t>
      </w:r>
      <w:proofErr w:type="spellEnd"/>
      <w:r w:rsidRPr="0015528B">
        <w:rPr>
          <w:rFonts w:ascii="Times New Roman" w:hAnsi="Times New Roman" w:cs="Times New Roman"/>
        </w:rPr>
        <w:t xml:space="preserve">, E., (2023). Antimicrobial resistance in burn wounds: A review from Ghana. </w:t>
      </w:r>
      <w:r w:rsidRPr="0015528B">
        <w:rPr>
          <w:rFonts w:ascii="Times New Roman" w:hAnsi="Times New Roman" w:cs="Times New Roman"/>
          <w:i/>
          <w:iCs/>
        </w:rPr>
        <w:t>West African Medical Journal</w:t>
      </w:r>
      <w:r w:rsidRPr="0015528B">
        <w:rPr>
          <w:rFonts w:ascii="Times New Roman" w:hAnsi="Times New Roman" w:cs="Times New Roman"/>
        </w:rPr>
        <w:t>, 36(2), pp.89-97.</w:t>
      </w:r>
    </w:p>
    <w:p w:rsidR="00BA7FC3" w:rsidRPr="00BA7FC3" w:rsidRDefault="00BA7FC3" w:rsidP="00BA7FC3">
      <w:pPr>
        <w:pStyle w:val="ListParagraph"/>
        <w:numPr>
          <w:ilvl w:val="0"/>
          <w:numId w:val="2"/>
        </w:numPr>
        <w:spacing w:line="360" w:lineRule="auto"/>
        <w:jc w:val="both"/>
        <w:rPr>
          <w:rFonts w:ascii="Times New Roman" w:hAnsi="Times New Roman" w:cs="Times New Roman"/>
        </w:rPr>
      </w:pPr>
      <w:proofErr w:type="spellStart"/>
      <w:r w:rsidRPr="00BA7FC3">
        <w:rPr>
          <w:rFonts w:ascii="Times New Roman" w:hAnsi="Times New Roman" w:cs="Times New Roman"/>
        </w:rPr>
        <w:t>Hailu</w:t>
      </w:r>
      <w:proofErr w:type="spellEnd"/>
      <w:r w:rsidRPr="00BA7FC3">
        <w:rPr>
          <w:rFonts w:ascii="Times New Roman" w:hAnsi="Times New Roman" w:cs="Times New Roman"/>
        </w:rPr>
        <w:t xml:space="preserve">, T., </w:t>
      </w:r>
      <w:proofErr w:type="spellStart"/>
      <w:r w:rsidRPr="00BA7FC3">
        <w:rPr>
          <w:rFonts w:ascii="Times New Roman" w:hAnsi="Times New Roman" w:cs="Times New Roman"/>
        </w:rPr>
        <w:t>Tesfaye</w:t>
      </w:r>
      <w:proofErr w:type="spellEnd"/>
      <w:r w:rsidRPr="00BA7FC3">
        <w:rPr>
          <w:rFonts w:ascii="Times New Roman" w:hAnsi="Times New Roman" w:cs="Times New Roman"/>
        </w:rPr>
        <w:t xml:space="preserve">, G. and </w:t>
      </w:r>
      <w:proofErr w:type="spellStart"/>
      <w:r w:rsidRPr="00BA7FC3">
        <w:rPr>
          <w:rFonts w:ascii="Times New Roman" w:hAnsi="Times New Roman" w:cs="Times New Roman"/>
        </w:rPr>
        <w:t>Desta</w:t>
      </w:r>
      <w:proofErr w:type="spellEnd"/>
      <w:r w:rsidRPr="00BA7FC3">
        <w:rPr>
          <w:rFonts w:ascii="Times New Roman" w:hAnsi="Times New Roman" w:cs="Times New Roman"/>
        </w:rPr>
        <w:t xml:space="preserve">, Z., (2021). Bacterial isolates and antimicrobial resistance patterns in burn wound infections. </w:t>
      </w:r>
      <w:r w:rsidRPr="00BA7FC3">
        <w:rPr>
          <w:rFonts w:ascii="Times New Roman" w:hAnsi="Times New Roman" w:cs="Times New Roman"/>
          <w:i/>
          <w:iCs/>
        </w:rPr>
        <w:t>Journal of Infection and Public Health</w:t>
      </w:r>
      <w:r w:rsidRPr="00BA7FC3">
        <w:rPr>
          <w:rFonts w:ascii="Times New Roman" w:hAnsi="Times New Roman" w:cs="Times New Roman"/>
        </w:rPr>
        <w:t>, 14(7), pp.921-930.</w:t>
      </w:r>
    </w:p>
    <w:p w:rsidR="00BA7FC3" w:rsidRPr="0015528B" w:rsidRDefault="00BA7FC3" w:rsidP="0015528B">
      <w:pPr>
        <w:spacing w:line="360" w:lineRule="auto"/>
        <w:ind w:left="-284"/>
        <w:jc w:val="both"/>
        <w:rPr>
          <w:rFonts w:ascii="Times New Roman" w:hAnsi="Times New Roman" w:cs="Times New Roman"/>
        </w:rPr>
      </w:pPr>
    </w:p>
    <w:p w:rsidR="00BA7FC3" w:rsidRPr="00BA7FC3" w:rsidRDefault="00BA7FC3" w:rsidP="00BA7FC3">
      <w:pPr>
        <w:pStyle w:val="ListParagraph"/>
        <w:spacing w:line="360" w:lineRule="auto"/>
        <w:ind w:left="421"/>
        <w:jc w:val="both"/>
        <w:rPr>
          <w:rFonts w:ascii="Times New Roman" w:hAnsi="Times New Roman" w:cs="Times New Roman"/>
        </w:rPr>
      </w:pPr>
    </w:p>
    <w:p w:rsidR="0001283E" w:rsidRDefault="004E6A7A" w:rsidP="00BA7FC3">
      <w:pPr>
        <w:jc w:val="both"/>
      </w:pPr>
    </w:p>
    <w:sectPr w:rsidR="0001283E" w:rsidSect="00BA7FC3">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084A83"/>
    <w:multiLevelType w:val="hybridMultilevel"/>
    <w:tmpl w:val="AEDE305A"/>
    <w:lvl w:ilvl="0" w:tplc="31FAB0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FA5E8D"/>
    <w:multiLevelType w:val="hybridMultilevel"/>
    <w:tmpl w:val="14347E64"/>
    <w:lvl w:ilvl="0" w:tplc="39DC06BE">
      <w:start w:val="1"/>
      <w:numFmt w:val="decimal"/>
      <w:lvlText w:val="%1."/>
      <w:lvlJc w:val="left"/>
      <w:pPr>
        <w:ind w:left="421" w:hanging="705"/>
      </w:pPr>
      <w:rPr>
        <w:rFonts w:hint="default"/>
        <w:sz w:val="2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9C4BBA"/>
    <w:rsid w:val="0015528B"/>
    <w:rsid w:val="00181265"/>
    <w:rsid w:val="00214C6B"/>
    <w:rsid w:val="00255D17"/>
    <w:rsid w:val="002E063E"/>
    <w:rsid w:val="002E3022"/>
    <w:rsid w:val="003F7782"/>
    <w:rsid w:val="004E6A7A"/>
    <w:rsid w:val="00523D4B"/>
    <w:rsid w:val="00552068"/>
    <w:rsid w:val="007B6DBA"/>
    <w:rsid w:val="007C20DE"/>
    <w:rsid w:val="009C4BBA"/>
    <w:rsid w:val="00AA117C"/>
    <w:rsid w:val="00AF586B"/>
    <w:rsid w:val="00BA7FC3"/>
    <w:rsid w:val="00D27207"/>
    <w:rsid w:val="00D9592A"/>
    <w:rsid w:val="00DA1A23"/>
    <w:rsid w:val="00E1401A"/>
    <w:rsid w:val="00EB2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19"/>
        <o:r id="V:Rule6" type="connector" idref="#Straight Arrow Connector 17"/>
        <o:r id="V:Rule7" type="connector" idref="#Straight Arrow Connector 18"/>
        <o:r id="V:Rule8"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BA"/>
    <w:pPr>
      <w:spacing w:after="200" w:line="276" w:lineRule="auto"/>
    </w:pPr>
  </w:style>
  <w:style w:type="paragraph" w:styleId="Heading2">
    <w:name w:val="heading 2"/>
    <w:basedOn w:val="Normal"/>
    <w:next w:val="Normal"/>
    <w:link w:val="Heading2Char"/>
    <w:uiPriority w:val="9"/>
    <w:unhideWhenUsed/>
    <w:qFormat/>
    <w:rsid w:val="009C4BB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4BBA"/>
    <w:rPr>
      <w:rFonts w:asciiTheme="majorHAnsi" w:eastAsiaTheme="majorEastAsia" w:hAnsiTheme="majorHAnsi" w:cstheme="majorBidi"/>
      <w:b/>
      <w:bCs/>
      <w:color w:val="5B9BD5" w:themeColor="accent1"/>
      <w:sz w:val="26"/>
      <w:szCs w:val="26"/>
    </w:rPr>
  </w:style>
  <w:style w:type="character" w:customStyle="1" w:styleId="markedcontent">
    <w:name w:val="markedcontent"/>
    <w:basedOn w:val="DefaultParagraphFont"/>
    <w:rsid w:val="009C4BBA"/>
  </w:style>
  <w:style w:type="paragraph" w:styleId="ListParagraph">
    <w:name w:val="List Paragraph"/>
    <w:basedOn w:val="Normal"/>
    <w:uiPriority w:val="34"/>
    <w:qFormat/>
    <w:rsid w:val="009C4BBA"/>
    <w:pPr>
      <w:ind w:left="720"/>
      <w:contextualSpacing/>
    </w:pPr>
  </w:style>
  <w:style w:type="character" w:customStyle="1" w:styleId="BBChar">
    <w:name w:val="BB Char"/>
    <w:basedOn w:val="DefaultParagraphFont"/>
    <w:link w:val="BB"/>
    <w:locked/>
    <w:rsid w:val="009C4BBA"/>
    <w:rPr>
      <w:rFonts w:ascii="Times New Roman" w:hAnsi="Times New Roman" w:cs="Times New Roman"/>
      <w:b/>
      <w:sz w:val="28"/>
      <w:szCs w:val="28"/>
    </w:rPr>
  </w:style>
  <w:style w:type="paragraph" w:customStyle="1" w:styleId="BB">
    <w:name w:val="BB"/>
    <w:basedOn w:val="Normal"/>
    <w:link w:val="BBChar"/>
    <w:qFormat/>
    <w:rsid w:val="009C4BBA"/>
    <w:pPr>
      <w:spacing w:before="240" w:after="0" w:line="480" w:lineRule="auto"/>
      <w:jc w:val="both"/>
    </w:pPr>
    <w:rPr>
      <w:rFonts w:ascii="Times New Roman" w:hAnsi="Times New Roman" w:cs="Times New Roman"/>
      <w:b/>
      <w:sz w:val="28"/>
      <w:szCs w:val="28"/>
    </w:rPr>
  </w:style>
  <w:style w:type="character" w:customStyle="1" w:styleId="TBChar">
    <w:name w:val="TB Char"/>
    <w:basedOn w:val="DefaultParagraphFont"/>
    <w:link w:val="TB"/>
    <w:locked/>
    <w:rsid w:val="009C4BBA"/>
    <w:rPr>
      <w:rFonts w:ascii="Times New Roman" w:hAnsi="Times New Roman" w:cs="Times New Roman"/>
      <w:b/>
      <w:color w:val="000000" w:themeColor="text1"/>
      <w:sz w:val="28"/>
      <w:szCs w:val="28"/>
    </w:rPr>
  </w:style>
  <w:style w:type="paragraph" w:customStyle="1" w:styleId="TB">
    <w:name w:val="TB"/>
    <w:basedOn w:val="Normal"/>
    <w:link w:val="TBChar"/>
    <w:qFormat/>
    <w:rsid w:val="009C4BBA"/>
    <w:pPr>
      <w:spacing w:before="240" w:after="0" w:line="480" w:lineRule="auto"/>
      <w:jc w:val="both"/>
    </w:pPr>
    <w:rPr>
      <w:rFonts w:ascii="Times New Roman" w:hAnsi="Times New Roman" w:cs="Times New Roman"/>
      <w:b/>
      <w:color w:val="000000" w:themeColor="text1"/>
      <w:sz w:val="28"/>
      <w:szCs w:val="28"/>
    </w:rPr>
  </w:style>
  <w:style w:type="table" w:customStyle="1" w:styleId="ListTable4-Accent11">
    <w:name w:val="List Table 4 - Accent 11"/>
    <w:basedOn w:val="TableNormal"/>
    <w:uiPriority w:val="49"/>
    <w:rsid w:val="009C4BBA"/>
    <w:pPr>
      <w:spacing w:after="0" w:line="240" w:lineRule="auto"/>
    </w:pPr>
    <w:rPr>
      <w:rFonts w:ascii="Symbol" w:hAnsi="Symbol" w:cs="Times New Roman"/>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9C4BBA"/>
    <w:rPr>
      <w:color w:val="0563C1" w:themeColor="hyperlink"/>
      <w:u w:val="single"/>
    </w:rPr>
  </w:style>
  <w:style w:type="character" w:styleId="PlaceholderText">
    <w:name w:val="Placeholder Text"/>
    <w:basedOn w:val="DefaultParagraphFont"/>
    <w:uiPriority w:val="99"/>
    <w:semiHidden/>
    <w:rsid w:val="009C4BBA"/>
    <w:rPr>
      <w:color w:val="808080"/>
    </w:rPr>
  </w:style>
  <w:style w:type="paragraph" w:styleId="NormalWeb">
    <w:name w:val="Normal (Web)"/>
    <w:basedOn w:val="Normal"/>
    <w:uiPriority w:val="99"/>
    <w:unhideWhenUsed/>
    <w:rsid w:val="009C4B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F7782"/>
    <w:pPr>
      <w:spacing w:after="0" w:line="240" w:lineRule="auto"/>
    </w:pPr>
    <w:rPr>
      <w:kern w:val="2"/>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A7FC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sandyobiakor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CHEDOCHUKWU%20JUSTUS\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CHEDOCHUKWU%20JUSTUS\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CHEDOCHUKWU%20JUSTUS\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Sheet1!$B$192:$B$197</c:f>
              <c:strCache>
                <c:ptCount val="6"/>
                <c:pt idx="0">
                  <c:v>Staphylococcus aureus</c:v>
                </c:pt>
                <c:pt idx="1">
                  <c:v>Escherichia coli</c:v>
                </c:pt>
                <c:pt idx="2">
                  <c:v>Proteus mirabilis </c:v>
                </c:pt>
                <c:pt idx="3">
                  <c:v>Klebsiella pneumoniae </c:v>
                </c:pt>
                <c:pt idx="4">
                  <c:v>Pseudomonas aeruginosa</c:v>
                </c:pt>
                <c:pt idx="5">
                  <c:v>Streptococcus pneumoniae </c:v>
                </c:pt>
              </c:strCache>
            </c:strRef>
          </c:cat>
          <c:val>
            <c:numRef>
              <c:f>Sheet1!$C$192:$C$197</c:f>
              <c:numCache>
                <c:formatCode>0%</c:formatCode>
                <c:ptCount val="6"/>
                <c:pt idx="0" formatCode="0.00%">
                  <c:v>0.54200000000000004</c:v>
                </c:pt>
                <c:pt idx="1">
                  <c:v>6.0000000000000032E-2</c:v>
                </c:pt>
                <c:pt idx="2" formatCode="0.00%">
                  <c:v>3.6000000000000011E-2</c:v>
                </c:pt>
                <c:pt idx="3" formatCode="0.00%">
                  <c:v>0.18100000000000011</c:v>
                </c:pt>
                <c:pt idx="4" formatCode="0.00%">
                  <c:v>0.13300000000000001</c:v>
                </c:pt>
                <c:pt idx="5" formatCode="0.00%">
                  <c:v>4.8000000000000022E-2</c:v>
                </c:pt>
              </c:numCache>
            </c:numRef>
          </c:val>
          <c:extLst xmlns:c16r2="http://schemas.microsoft.com/office/drawing/2015/06/chart">
            <c:ext xmlns:c16="http://schemas.microsoft.com/office/drawing/2014/chart" uri="{C3380CC4-5D6E-409C-BE32-E72D297353CC}">
              <c16:uniqueId val="{00000000-5799-4FE7-8B31-0E06C94B55D0}"/>
            </c:ext>
          </c:extLst>
        </c:ser>
        <c:dLbls>
          <c:showVal val="1"/>
        </c:dLbls>
        <c:gapWidth val="219"/>
        <c:overlap val="-27"/>
        <c:axId val="97576448"/>
        <c:axId val="97577984"/>
      </c:barChart>
      <c:catAx>
        <c:axId val="97576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77984"/>
        <c:crosses val="autoZero"/>
        <c:auto val="1"/>
        <c:lblAlgn val="ctr"/>
        <c:lblOffset val="100"/>
      </c:catAx>
      <c:valAx>
        <c:axId val="9757798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764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percentStacked"/>
        <c:ser>
          <c:idx val="0"/>
          <c:order val="0"/>
          <c:tx>
            <c:strRef>
              <c:f>Sheet1!$C$165</c:f>
              <c:strCache>
                <c:ptCount val="1"/>
                <c:pt idx="0">
                  <c:v>Susceptibility</c:v>
                </c:pt>
              </c:strCache>
            </c:strRef>
          </c:tx>
          <c:spPr>
            <a:pattFill prst="pct5">
              <a:fgClr>
                <a:schemeClr val="tx1"/>
              </a:fgClr>
              <a:bgClr>
                <a:schemeClr val="bg1"/>
              </a:bgClr>
            </a:pattFill>
            <a:ln>
              <a:noFill/>
            </a:ln>
            <a:effectLst/>
          </c:spPr>
          <c:dLbls>
            <c:spPr>
              <a:solidFill>
                <a:schemeClr val="bg1">
                  <a:lumMod val="7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Sheet1!$B$166:$B$180</c:f>
              <c:strCache>
                <c:ptCount val="15"/>
                <c:pt idx="0">
                  <c:v>Erythromycin</c:v>
                </c:pt>
                <c:pt idx="1">
                  <c:v>Azithromycin</c:v>
                </c:pt>
                <c:pt idx="2">
                  <c:v>Streptomycin</c:v>
                </c:pt>
                <c:pt idx="3">
                  <c:v>Rifampicin</c:v>
                </c:pt>
                <c:pt idx="4">
                  <c:v>Ceftazidime</c:v>
                </c:pt>
                <c:pt idx="5">
                  <c:v>Amoxicillin</c:v>
                </c:pt>
                <c:pt idx="6">
                  <c:v>Ciprofloxacin</c:v>
                </c:pt>
                <c:pt idx="7">
                  <c:v>Levofloxacin </c:v>
                </c:pt>
                <c:pt idx="8">
                  <c:v>Gentamycin</c:v>
                </c:pt>
                <c:pt idx="9">
                  <c:v>Ofloxacin</c:v>
                </c:pt>
                <c:pt idx="10">
                  <c:v>Ceporex</c:v>
                </c:pt>
                <c:pt idx="11">
                  <c:v>Pefloxacin</c:v>
                </c:pt>
                <c:pt idx="12">
                  <c:v>Ceftriaxone</c:v>
                </c:pt>
                <c:pt idx="13">
                  <c:v>Cefuroxime</c:v>
                </c:pt>
                <c:pt idx="14">
                  <c:v>Augmentin</c:v>
                </c:pt>
              </c:strCache>
            </c:strRef>
          </c:cat>
          <c:val>
            <c:numRef>
              <c:f>Sheet1!$C$166:$C$180</c:f>
              <c:numCache>
                <c:formatCode>General</c:formatCode>
                <c:ptCount val="15"/>
                <c:pt idx="0">
                  <c:v>22.9</c:v>
                </c:pt>
                <c:pt idx="1">
                  <c:v>47</c:v>
                </c:pt>
                <c:pt idx="2">
                  <c:v>71.099999999999994</c:v>
                </c:pt>
                <c:pt idx="3">
                  <c:v>15.7</c:v>
                </c:pt>
                <c:pt idx="4">
                  <c:v>10.8</c:v>
                </c:pt>
                <c:pt idx="5">
                  <c:v>28.9</c:v>
                </c:pt>
                <c:pt idx="6">
                  <c:v>33.700000000000003</c:v>
                </c:pt>
                <c:pt idx="7">
                  <c:v>34.9</c:v>
                </c:pt>
                <c:pt idx="8">
                  <c:v>57.8</c:v>
                </c:pt>
                <c:pt idx="9">
                  <c:v>26.5</c:v>
                </c:pt>
                <c:pt idx="10">
                  <c:v>12</c:v>
                </c:pt>
                <c:pt idx="11">
                  <c:v>4.8</c:v>
                </c:pt>
                <c:pt idx="12">
                  <c:v>9.6</c:v>
                </c:pt>
                <c:pt idx="13">
                  <c:v>25.3</c:v>
                </c:pt>
                <c:pt idx="14">
                  <c:v>22.9</c:v>
                </c:pt>
              </c:numCache>
            </c:numRef>
          </c:val>
          <c:extLst xmlns:c16r2="http://schemas.microsoft.com/office/drawing/2015/06/chart">
            <c:ext xmlns:c16="http://schemas.microsoft.com/office/drawing/2014/chart" uri="{C3380CC4-5D6E-409C-BE32-E72D297353CC}">
              <c16:uniqueId val="{00000000-6C0A-4A15-A74E-001867095E7F}"/>
            </c:ext>
          </c:extLst>
        </c:ser>
        <c:ser>
          <c:idx val="1"/>
          <c:order val="1"/>
          <c:tx>
            <c:strRef>
              <c:f>Sheet1!$D$165</c:f>
              <c:strCache>
                <c:ptCount val="1"/>
                <c:pt idx="0">
                  <c:v>Resistance</c:v>
                </c:pt>
              </c:strCache>
            </c:strRef>
          </c:tx>
          <c:spPr>
            <a:pattFill prst="dkDnDiag">
              <a:fgClr>
                <a:schemeClr val="tx1"/>
              </a:fgClr>
              <a:bgClr>
                <a:schemeClr val="bg1"/>
              </a:bgClr>
            </a:pattFill>
            <a:ln>
              <a:noFill/>
            </a:ln>
            <a:effectLst/>
          </c:spPr>
          <c:dLbls>
            <c:spPr>
              <a:solidFill>
                <a:schemeClr val="bg1">
                  <a:lumMod val="8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Sheet1!$B$166:$B$180</c:f>
              <c:strCache>
                <c:ptCount val="15"/>
                <c:pt idx="0">
                  <c:v>Erythromycin</c:v>
                </c:pt>
                <c:pt idx="1">
                  <c:v>Azithromycin</c:v>
                </c:pt>
                <c:pt idx="2">
                  <c:v>Streptomycin</c:v>
                </c:pt>
                <c:pt idx="3">
                  <c:v>Rifampicin</c:v>
                </c:pt>
                <c:pt idx="4">
                  <c:v>Ceftazidime</c:v>
                </c:pt>
                <c:pt idx="5">
                  <c:v>Amoxicillin</c:v>
                </c:pt>
                <c:pt idx="6">
                  <c:v>Ciprofloxacin</c:v>
                </c:pt>
                <c:pt idx="7">
                  <c:v>Levofloxacin </c:v>
                </c:pt>
                <c:pt idx="8">
                  <c:v>Gentamycin</c:v>
                </c:pt>
                <c:pt idx="9">
                  <c:v>Ofloxacin</c:v>
                </c:pt>
                <c:pt idx="10">
                  <c:v>Ceporex</c:v>
                </c:pt>
                <c:pt idx="11">
                  <c:v>Pefloxacin</c:v>
                </c:pt>
                <c:pt idx="12">
                  <c:v>Ceftriaxone</c:v>
                </c:pt>
                <c:pt idx="13">
                  <c:v>Cefuroxime</c:v>
                </c:pt>
                <c:pt idx="14">
                  <c:v>Augmentin</c:v>
                </c:pt>
              </c:strCache>
            </c:strRef>
          </c:cat>
          <c:val>
            <c:numRef>
              <c:f>Sheet1!$D$166:$D$180</c:f>
              <c:numCache>
                <c:formatCode>General</c:formatCode>
                <c:ptCount val="15"/>
                <c:pt idx="0">
                  <c:v>77.099999999999994</c:v>
                </c:pt>
                <c:pt idx="1">
                  <c:v>53</c:v>
                </c:pt>
                <c:pt idx="2">
                  <c:v>28.9</c:v>
                </c:pt>
                <c:pt idx="3">
                  <c:v>84.3</c:v>
                </c:pt>
                <c:pt idx="4">
                  <c:v>89.2</c:v>
                </c:pt>
                <c:pt idx="5">
                  <c:v>71.099999999999994</c:v>
                </c:pt>
                <c:pt idx="6">
                  <c:v>66.3</c:v>
                </c:pt>
                <c:pt idx="7">
                  <c:v>65.099999999999994</c:v>
                </c:pt>
                <c:pt idx="8">
                  <c:v>42.2</c:v>
                </c:pt>
                <c:pt idx="9">
                  <c:v>73.5</c:v>
                </c:pt>
                <c:pt idx="10">
                  <c:v>88</c:v>
                </c:pt>
                <c:pt idx="11">
                  <c:v>95.2</c:v>
                </c:pt>
                <c:pt idx="12">
                  <c:v>90.4</c:v>
                </c:pt>
                <c:pt idx="13">
                  <c:v>74.7</c:v>
                </c:pt>
                <c:pt idx="14">
                  <c:v>77.099999999999994</c:v>
                </c:pt>
              </c:numCache>
            </c:numRef>
          </c:val>
          <c:extLst xmlns:c16r2="http://schemas.microsoft.com/office/drawing/2015/06/chart">
            <c:ext xmlns:c16="http://schemas.microsoft.com/office/drawing/2014/chart" uri="{C3380CC4-5D6E-409C-BE32-E72D297353CC}">
              <c16:uniqueId val="{00000001-6C0A-4A15-A74E-001867095E7F}"/>
            </c:ext>
          </c:extLst>
        </c:ser>
        <c:dLbls>
          <c:showVal val="1"/>
        </c:dLbls>
        <c:overlap val="100"/>
        <c:axId val="97734016"/>
        <c:axId val="99280000"/>
      </c:barChart>
      <c:catAx>
        <c:axId val="977340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80000"/>
        <c:crosses val="autoZero"/>
        <c:auto val="1"/>
        <c:lblAlgn val="ctr"/>
        <c:lblOffset val="100"/>
      </c:catAx>
      <c:valAx>
        <c:axId val="9928000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734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Sheet1!$B$203:$B$208</c:f>
              <c:strCache>
                <c:ptCount val="6"/>
                <c:pt idx="0">
                  <c:v>Staphylococcus aureus</c:v>
                </c:pt>
                <c:pt idx="1">
                  <c:v>Escherichia coli</c:v>
                </c:pt>
                <c:pt idx="2">
                  <c:v>Proteus mirabilis </c:v>
                </c:pt>
                <c:pt idx="3">
                  <c:v>Klebsiella pneumoniae </c:v>
                </c:pt>
                <c:pt idx="4">
                  <c:v>Pseudomonas aeruginosa</c:v>
                </c:pt>
                <c:pt idx="5">
                  <c:v>Streptococcus pneumoniae </c:v>
                </c:pt>
              </c:strCache>
            </c:strRef>
          </c:cat>
          <c:val>
            <c:numRef>
              <c:f>Sheet1!$C$203:$C$208</c:f>
              <c:numCache>
                <c:formatCode>0%</c:formatCode>
                <c:ptCount val="6"/>
                <c:pt idx="0" formatCode="0.00%">
                  <c:v>0.71100000000000041</c:v>
                </c:pt>
                <c:pt idx="1">
                  <c:v>0.4</c:v>
                </c:pt>
                <c:pt idx="2" formatCode="0.00%">
                  <c:v>0.33300000000000035</c:v>
                </c:pt>
                <c:pt idx="3" formatCode="0.00%">
                  <c:v>0.73300000000000043</c:v>
                </c:pt>
                <c:pt idx="4" formatCode="0.00%">
                  <c:v>0.72700000000000042</c:v>
                </c:pt>
                <c:pt idx="5">
                  <c:v>0.5</c:v>
                </c:pt>
              </c:numCache>
            </c:numRef>
          </c:val>
          <c:extLst xmlns:c16r2="http://schemas.microsoft.com/office/drawing/2015/06/chart">
            <c:ext xmlns:c16="http://schemas.microsoft.com/office/drawing/2014/chart" uri="{C3380CC4-5D6E-409C-BE32-E72D297353CC}">
              <c16:uniqueId val="{00000000-BC08-4778-AD5E-868851CBC6C9}"/>
            </c:ext>
          </c:extLst>
        </c:ser>
        <c:dLbls>
          <c:showVal val="1"/>
        </c:dLbls>
        <c:gapWidth val="219"/>
        <c:overlap val="-27"/>
        <c:axId val="124728064"/>
        <c:axId val="124729600"/>
      </c:barChart>
      <c:catAx>
        <c:axId val="124728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29600"/>
        <c:crosses val="autoZero"/>
        <c:auto val="1"/>
        <c:lblAlgn val="ctr"/>
        <c:lblOffset val="100"/>
      </c:catAx>
      <c:valAx>
        <c:axId val="12472960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280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2025-01-13T10:38:00Z</dcterms:created>
  <dcterms:modified xsi:type="dcterms:W3CDTF">2025-01-13T10:38:00Z</dcterms:modified>
</cp:coreProperties>
</file>