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3B" w:rsidRPr="000C5E9B" w:rsidRDefault="000C4729" w:rsidP="000C5E9B">
      <w:pPr>
        <w:jc w:val="center"/>
        <w:rPr>
          <w:rFonts w:ascii="Times New Roman" w:hAnsi="Times New Roman" w:cs="Times New Roman"/>
          <w:b/>
          <w:sz w:val="28"/>
          <w:szCs w:val="28"/>
        </w:rPr>
      </w:pPr>
      <w:r w:rsidRPr="000C4729">
        <w:rPr>
          <w:rFonts w:ascii="Times New Roman" w:hAnsi="Times New Roman" w:cs="Times New Roman"/>
          <w:b/>
          <w:sz w:val="28"/>
          <w:szCs w:val="28"/>
        </w:rPr>
        <w:t>Molecular Dynamics and Multiscale Computational Modeling of Radon Progeny-Induced DNA Damage and Repair Mechani</w:t>
      </w:r>
      <w:r>
        <w:rPr>
          <w:rFonts w:ascii="Times New Roman" w:hAnsi="Times New Roman" w:cs="Times New Roman"/>
          <w:b/>
          <w:sz w:val="28"/>
          <w:szCs w:val="28"/>
        </w:rPr>
        <w:t>sms in Lung Epithelial Cells</w:t>
      </w:r>
    </w:p>
    <w:p w:rsidR="007A293B" w:rsidRPr="004216A0" w:rsidRDefault="007A293B" w:rsidP="007A293B">
      <w:pPr>
        <w:pStyle w:val="Heading1"/>
        <w:rPr>
          <w:rFonts w:ascii="Times New Roman" w:hAnsi="Times New Roman" w:cs="Times New Roman"/>
          <w:b/>
          <w:color w:val="auto"/>
          <w:sz w:val="28"/>
          <w:szCs w:val="28"/>
        </w:rPr>
      </w:pPr>
      <w:r w:rsidRPr="004216A0">
        <w:rPr>
          <w:rFonts w:ascii="Times New Roman" w:hAnsi="Times New Roman" w:cs="Times New Roman"/>
          <w:b/>
          <w:color w:val="auto"/>
          <w:spacing w:val="-2"/>
          <w:sz w:val="28"/>
          <w:szCs w:val="28"/>
        </w:rPr>
        <w:t>Abstract</w:t>
      </w:r>
    </w:p>
    <w:p w:rsidR="007A293B" w:rsidRDefault="00272143" w:rsidP="00272143">
      <w:pPr>
        <w:spacing w:line="240" w:lineRule="auto"/>
        <w:jc w:val="both"/>
        <w:rPr>
          <w:rFonts w:ascii="Times New Roman" w:hAnsi="Times New Roman" w:cs="Times New Roman"/>
          <w:sz w:val="24"/>
          <w:szCs w:val="24"/>
        </w:rPr>
      </w:pPr>
      <w:r w:rsidRPr="00272143">
        <w:rPr>
          <w:rFonts w:ascii="Times New Roman" w:hAnsi="Times New Roman" w:cs="Times New Roman"/>
          <w:sz w:val="24"/>
          <w:szCs w:val="24"/>
        </w:rPr>
        <w:t xml:space="preserve">Radon and its progeny are the leading source of natural radiation exposure and a well-established cause of lung cancer, yet the mechanistic basis linking alpha-particle track structures to population-level risk remains insufficiently resolved. In this study, we developed a multiscale computational framework that integrates spatial ionization patterns, DNA damage clustering, repair pathway kinetics, and cell fate outcomes into a biologically based dose-response (BBDR) model. Simulations revealed that alpha-particle track cores generate dense clusters of double-strand breaks prone to </w:t>
      </w:r>
      <w:proofErr w:type="spellStart"/>
      <w:r w:rsidRPr="00272143">
        <w:rPr>
          <w:rFonts w:ascii="Times New Roman" w:hAnsi="Times New Roman" w:cs="Times New Roman"/>
          <w:sz w:val="24"/>
          <w:szCs w:val="24"/>
        </w:rPr>
        <w:t>misrepair</w:t>
      </w:r>
      <w:proofErr w:type="spellEnd"/>
      <w:r w:rsidRPr="00272143">
        <w:rPr>
          <w:rFonts w:ascii="Times New Roman" w:hAnsi="Times New Roman" w:cs="Times New Roman"/>
          <w:sz w:val="24"/>
          <w:szCs w:val="24"/>
        </w:rPr>
        <w:t xml:space="preserve">, while the penumbra produces more dispersed lesions largely repairable by cellular mechanisms. Protein–DNA binding kinetics distinguished repair-efficient from </w:t>
      </w:r>
      <w:proofErr w:type="spellStart"/>
      <w:r w:rsidRPr="00272143">
        <w:rPr>
          <w:rFonts w:ascii="Times New Roman" w:hAnsi="Times New Roman" w:cs="Times New Roman"/>
          <w:sz w:val="24"/>
          <w:szCs w:val="24"/>
        </w:rPr>
        <w:t>misrepair</w:t>
      </w:r>
      <w:proofErr w:type="spellEnd"/>
      <w:r w:rsidRPr="00272143">
        <w:rPr>
          <w:rFonts w:ascii="Times New Roman" w:hAnsi="Times New Roman" w:cs="Times New Roman"/>
          <w:sz w:val="24"/>
          <w:szCs w:val="24"/>
        </w:rPr>
        <w:t xml:space="preserve">-prone configurations, and stochastic cell fate modeling demonstrated how mutation accumulation arises from the interplay of repair, apoptosis, and </w:t>
      </w:r>
      <w:proofErr w:type="spellStart"/>
      <w:r w:rsidRPr="00272143">
        <w:rPr>
          <w:rFonts w:ascii="Times New Roman" w:hAnsi="Times New Roman" w:cs="Times New Roman"/>
          <w:sz w:val="24"/>
          <w:szCs w:val="24"/>
        </w:rPr>
        <w:t>misrepair</w:t>
      </w:r>
      <w:proofErr w:type="spellEnd"/>
      <w:r w:rsidRPr="00272143">
        <w:rPr>
          <w:rFonts w:ascii="Times New Roman" w:hAnsi="Times New Roman" w:cs="Times New Roman"/>
          <w:sz w:val="24"/>
          <w:szCs w:val="24"/>
        </w:rPr>
        <w:t>. When embedded into a multistage clonal expansion model, these mechanistic outputs reproduced excess relative risk (ERR) estimates of 8–10% per 100 Bq·m⁻³, consistent with pooled residential epidemiological data and authoritative risk assessments. This work provides a mechanistic bridge between molecular-scale damage and epidemiological observations, reducing uncertainty in low-dose extrapolation and strengthening the scientific basis for radon risk assessment and public health policy.</w:t>
      </w:r>
    </w:p>
    <w:p w:rsidR="00366DDF" w:rsidRDefault="00366DDF" w:rsidP="00366DDF">
      <w:pPr>
        <w:spacing w:after="0" w:line="240" w:lineRule="auto"/>
        <w:jc w:val="both"/>
        <w:rPr>
          <w:rFonts w:ascii="Times New Roman" w:eastAsia="Times New Roman" w:hAnsi="Times New Roman" w:cs="Times New Roman"/>
          <w:bCs/>
          <w:sz w:val="24"/>
          <w:szCs w:val="24"/>
        </w:rPr>
      </w:pPr>
      <w:r w:rsidRPr="00366DDF">
        <w:rPr>
          <w:rFonts w:ascii="Times New Roman" w:eastAsia="Times New Roman" w:hAnsi="Symbol" w:cs="Times New Roman"/>
          <w:b/>
          <w:sz w:val="24"/>
          <w:szCs w:val="24"/>
        </w:rPr>
        <w:t>Keywords:</w:t>
      </w:r>
      <w:r>
        <w:rPr>
          <w:rFonts w:ascii="Times New Roman" w:eastAsia="Times New Roman" w:hAnsi="Times New Roman" w:cs="Times New Roman"/>
          <w:b/>
          <w:bCs/>
          <w:sz w:val="24"/>
          <w:szCs w:val="24"/>
        </w:rPr>
        <w:t xml:space="preserve"> </w:t>
      </w:r>
      <w:r w:rsidRPr="00366DDF">
        <w:rPr>
          <w:rFonts w:ascii="Times New Roman" w:eastAsia="Times New Roman" w:hAnsi="Times New Roman" w:cs="Times New Roman"/>
          <w:bCs/>
          <w:sz w:val="24"/>
          <w:szCs w:val="24"/>
        </w:rPr>
        <w:t>Radon Progeny</w:t>
      </w:r>
      <w:r w:rsidRPr="00366DDF">
        <w:rPr>
          <w:rFonts w:ascii="Times New Roman" w:eastAsia="Times New Roman" w:hAnsi="Times New Roman" w:cs="Times New Roman"/>
          <w:sz w:val="24"/>
          <w:szCs w:val="24"/>
        </w:rPr>
        <w:t xml:space="preserve">, </w:t>
      </w:r>
      <w:r w:rsidRPr="00366DDF">
        <w:rPr>
          <w:rFonts w:ascii="Times New Roman" w:eastAsia="Times New Roman" w:hAnsi="Times New Roman" w:cs="Times New Roman"/>
          <w:bCs/>
          <w:sz w:val="24"/>
          <w:szCs w:val="24"/>
        </w:rPr>
        <w:t>DNA Damage and Repair</w:t>
      </w:r>
      <w:r w:rsidRPr="00366DDF">
        <w:rPr>
          <w:rFonts w:ascii="Times New Roman" w:eastAsia="Times New Roman" w:hAnsi="Times New Roman" w:cs="Times New Roman"/>
          <w:sz w:val="24"/>
          <w:szCs w:val="24"/>
        </w:rPr>
        <w:t xml:space="preserve">, </w:t>
      </w:r>
      <w:r w:rsidRPr="00366DDF">
        <w:rPr>
          <w:rFonts w:ascii="Times New Roman" w:eastAsia="Times New Roman" w:hAnsi="Times New Roman" w:cs="Times New Roman"/>
          <w:bCs/>
          <w:sz w:val="24"/>
          <w:szCs w:val="24"/>
        </w:rPr>
        <w:t>Molecular Dynamics Simulation</w:t>
      </w:r>
      <w:r w:rsidRPr="00366DDF">
        <w:rPr>
          <w:rFonts w:ascii="Times New Roman" w:eastAsia="Times New Roman" w:hAnsi="Times New Roman" w:cs="Times New Roman"/>
          <w:sz w:val="24"/>
          <w:szCs w:val="24"/>
        </w:rPr>
        <w:t xml:space="preserve">, </w:t>
      </w:r>
      <w:r w:rsidRPr="00366DDF">
        <w:rPr>
          <w:rFonts w:ascii="Times New Roman" w:eastAsia="Times New Roman" w:hAnsi="Times New Roman" w:cs="Times New Roman"/>
          <w:bCs/>
          <w:sz w:val="24"/>
          <w:szCs w:val="24"/>
        </w:rPr>
        <w:t>Multiscale Computational Modeling</w:t>
      </w:r>
      <w:r w:rsidRPr="00366DDF">
        <w:rPr>
          <w:rFonts w:ascii="Times New Roman" w:eastAsia="Times New Roman" w:hAnsi="Times New Roman" w:cs="Times New Roman"/>
          <w:sz w:val="24"/>
          <w:szCs w:val="24"/>
        </w:rPr>
        <w:t xml:space="preserve">, </w:t>
      </w:r>
      <w:r w:rsidRPr="00366DDF">
        <w:rPr>
          <w:rFonts w:ascii="Times New Roman" w:eastAsia="Times New Roman" w:hAnsi="Times New Roman" w:cs="Times New Roman"/>
          <w:bCs/>
          <w:sz w:val="24"/>
          <w:szCs w:val="24"/>
        </w:rPr>
        <w:t>Lung Epithelial Cells</w:t>
      </w:r>
      <w:r w:rsidRPr="00366DDF">
        <w:rPr>
          <w:rFonts w:ascii="Times New Roman" w:eastAsia="Times New Roman" w:hAnsi="Times New Roman" w:cs="Times New Roman"/>
          <w:sz w:val="24"/>
          <w:szCs w:val="24"/>
        </w:rPr>
        <w:t xml:space="preserve">, </w:t>
      </w:r>
      <w:r w:rsidRPr="00366DDF">
        <w:rPr>
          <w:rFonts w:ascii="Times New Roman" w:eastAsia="Times New Roman" w:hAnsi="Times New Roman" w:cs="Times New Roman"/>
          <w:bCs/>
          <w:sz w:val="24"/>
          <w:szCs w:val="24"/>
        </w:rPr>
        <w:t>Radiation-Induced Biological Effects</w:t>
      </w:r>
    </w:p>
    <w:p w:rsidR="00366DDF" w:rsidRPr="00366DDF" w:rsidRDefault="00366DDF" w:rsidP="00366DDF">
      <w:pPr>
        <w:spacing w:after="0" w:line="240" w:lineRule="auto"/>
        <w:jc w:val="both"/>
        <w:rPr>
          <w:rFonts w:ascii="Times New Roman" w:eastAsia="Times New Roman" w:hAnsi="Times New Roman" w:cs="Times New Roman"/>
          <w:sz w:val="24"/>
          <w:szCs w:val="24"/>
        </w:rPr>
      </w:pPr>
      <w:bookmarkStart w:id="0" w:name="_GoBack"/>
      <w:bookmarkEnd w:id="0"/>
    </w:p>
    <w:p w:rsidR="000C4729" w:rsidRDefault="000C4729" w:rsidP="000C4729">
      <w:pPr>
        <w:rPr>
          <w:rFonts w:ascii="Times New Roman" w:hAnsi="Times New Roman" w:cs="Times New Roman"/>
          <w:b/>
          <w:sz w:val="28"/>
          <w:szCs w:val="28"/>
        </w:rPr>
      </w:pPr>
      <w:r>
        <w:rPr>
          <w:rFonts w:ascii="Times New Roman" w:hAnsi="Times New Roman" w:cs="Times New Roman"/>
          <w:b/>
          <w:sz w:val="28"/>
          <w:szCs w:val="28"/>
        </w:rPr>
        <w:t>Introduction</w:t>
      </w:r>
    </w:p>
    <w:p w:rsidR="0083683D" w:rsidRDefault="0083683D" w:rsidP="007A293B">
      <w:pPr>
        <w:pStyle w:val="NormalWeb"/>
        <w:spacing w:line="276" w:lineRule="auto"/>
        <w:jc w:val="both"/>
      </w:pPr>
      <w:r>
        <w:t>Radon (</w:t>
      </w:r>
      <w:r w:rsidRPr="0083683D">
        <w:rPr>
          <w:vertAlign w:val="superscript"/>
        </w:rPr>
        <w:t>222</w:t>
      </w:r>
      <w:r>
        <w:t>Rn), a naturally occurring radioactive gas generated from the decay of uranium in soil and rocks, is the second leading cause of lung cancer worldwide after tobacco smoking. It is estimated to account for 3–14% of all lung cancer cases globally, with risk strongly influenced by indoor concentrations</w:t>
      </w:r>
      <w:r w:rsidR="000B0C06">
        <w:t xml:space="preserve"> (</w:t>
      </w:r>
      <w:proofErr w:type="spellStart"/>
      <w:r w:rsidR="000B0C06" w:rsidRPr="00836AEF">
        <w:t>Auwal</w:t>
      </w:r>
      <w:proofErr w:type="spellEnd"/>
      <w:r w:rsidR="000B0C06">
        <w:t xml:space="preserve"> </w:t>
      </w:r>
      <w:r w:rsidR="000B0C06">
        <w:rPr>
          <w:i/>
        </w:rPr>
        <w:t>et al</w:t>
      </w:r>
      <w:r w:rsidR="000B0C06">
        <w:t>., 2025</w:t>
      </w:r>
      <w:r w:rsidR="005A386D">
        <w:t xml:space="preserve">; </w:t>
      </w:r>
      <w:r w:rsidR="005A386D" w:rsidRPr="00836AEF">
        <w:t>Carter</w:t>
      </w:r>
      <w:r w:rsidR="007D5BED">
        <w:t>, 2021</w:t>
      </w:r>
      <w:r w:rsidR="000B0C06">
        <w:t>)</w:t>
      </w:r>
      <w:r>
        <w:t>. The health hazard primarily arises from short-lived radon progeny, which emit high linear energy transfer (LET) alpha particles upon inhalation. These alpha particles deposit energy densely within lung epithelial cells, creating ionization clusters that induce complex DNA double-strand breaks (DSBs), oxidative lesions,</w:t>
      </w:r>
      <w:r w:rsidR="000B0C06">
        <w:t xml:space="preserve"> and chromosomal rearrangements, </w:t>
      </w:r>
      <w:r>
        <w:t xml:space="preserve">forms of damage that are inherently difficult to repair and prone to </w:t>
      </w:r>
      <w:proofErr w:type="spellStart"/>
      <w:r>
        <w:t>misrepair</w:t>
      </w:r>
      <w:proofErr w:type="spellEnd"/>
      <w:r w:rsidR="005A386D">
        <w:t xml:space="preserve"> (</w:t>
      </w:r>
      <w:proofErr w:type="spellStart"/>
      <w:r w:rsidR="005A386D" w:rsidRPr="00836AEF">
        <w:rPr>
          <w:color w:val="202020"/>
          <w:shd w:val="clear" w:color="auto" w:fill="FFFFFF"/>
        </w:rPr>
        <w:t>Umegaki</w:t>
      </w:r>
      <w:proofErr w:type="spellEnd"/>
      <w:r w:rsidR="005A386D">
        <w:rPr>
          <w:color w:val="202020"/>
          <w:shd w:val="clear" w:color="auto" w:fill="FFFFFF"/>
        </w:rPr>
        <w:t xml:space="preserve"> </w:t>
      </w:r>
      <w:r w:rsidR="005A386D">
        <w:rPr>
          <w:i/>
          <w:color w:val="202020"/>
          <w:shd w:val="clear" w:color="auto" w:fill="FFFFFF"/>
        </w:rPr>
        <w:t>et al</w:t>
      </w:r>
      <w:r w:rsidR="005A386D">
        <w:rPr>
          <w:color w:val="202020"/>
          <w:shd w:val="clear" w:color="auto" w:fill="FFFFFF"/>
        </w:rPr>
        <w:t xml:space="preserve">., 2024; </w:t>
      </w:r>
      <w:proofErr w:type="spellStart"/>
      <w:r w:rsidR="005A386D" w:rsidRPr="00836AEF">
        <w:rPr>
          <w:color w:val="282828"/>
          <w:shd w:val="clear" w:color="auto" w:fill="F7F7F7"/>
        </w:rPr>
        <w:t>Luthey-Schulten</w:t>
      </w:r>
      <w:proofErr w:type="spellEnd"/>
      <w:r w:rsidR="005A386D">
        <w:rPr>
          <w:color w:val="282828"/>
          <w:shd w:val="clear" w:color="auto" w:fill="F7F7F7"/>
        </w:rPr>
        <w:t xml:space="preserve"> </w:t>
      </w:r>
      <w:r w:rsidR="005A386D">
        <w:rPr>
          <w:i/>
          <w:color w:val="282828"/>
          <w:shd w:val="clear" w:color="auto" w:fill="F7F7F7"/>
        </w:rPr>
        <w:t>et al</w:t>
      </w:r>
      <w:r w:rsidR="005A386D">
        <w:rPr>
          <w:color w:val="282828"/>
          <w:shd w:val="clear" w:color="auto" w:fill="F7F7F7"/>
        </w:rPr>
        <w:t xml:space="preserve">., 2022 </w:t>
      </w:r>
      <w:r w:rsidR="005A386D">
        <w:rPr>
          <w:color w:val="202020"/>
          <w:shd w:val="clear" w:color="auto" w:fill="FFFFFF"/>
        </w:rPr>
        <w:t xml:space="preserve">and </w:t>
      </w:r>
      <w:r w:rsidR="005A386D" w:rsidRPr="00836AEF">
        <w:t>Zhu</w:t>
      </w:r>
      <w:r w:rsidR="007D5BED">
        <w:t>,</w:t>
      </w:r>
      <w:r w:rsidR="005A386D">
        <w:t xml:space="preserve"> </w:t>
      </w:r>
      <w:r w:rsidR="005A386D">
        <w:rPr>
          <w:i/>
        </w:rPr>
        <w:t>et al</w:t>
      </w:r>
      <w:r w:rsidR="005A386D">
        <w:t>., 2018</w:t>
      </w:r>
      <w:r w:rsidR="005A386D">
        <w:rPr>
          <w:color w:val="202020"/>
          <w:shd w:val="clear" w:color="auto" w:fill="FFFFFF"/>
        </w:rPr>
        <w:t>)</w:t>
      </w:r>
      <w:r>
        <w:t>. Unlike sparsely ionizing radiation such as X-rays or gamma rays, radon progeny exposures produce highly localized and clustered damage that significantly elevates mutagenic potential</w:t>
      </w:r>
      <w:r w:rsidR="00DA7455">
        <w:t xml:space="preserve"> (</w:t>
      </w:r>
      <w:proofErr w:type="spellStart"/>
      <w:r w:rsidR="00DA7455" w:rsidRPr="00836AEF">
        <w:t>Auwal</w:t>
      </w:r>
      <w:proofErr w:type="spellEnd"/>
      <w:r w:rsidR="00DA7455">
        <w:t xml:space="preserve"> </w:t>
      </w:r>
      <w:r w:rsidR="00DA7455">
        <w:rPr>
          <w:i/>
        </w:rPr>
        <w:t>et al</w:t>
      </w:r>
      <w:r w:rsidR="00DA7455">
        <w:t>., 2025</w:t>
      </w:r>
      <w:r w:rsidR="007D5BED">
        <w:t xml:space="preserve">; </w:t>
      </w:r>
      <w:r w:rsidR="007D5BED" w:rsidRPr="00836AEF">
        <w:t>Benson,</w:t>
      </w:r>
      <w:r w:rsidR="007D5BED">
        <w:t xml:space="preserve"> 2019</w:t>
      </w:r>
      <w:r w:rsidR="00DA7455">
        <w:t>)</w:t>
      </w:r>
      <w:r>
        <w:t>.</w:t>
      </w:r>
    </w:p>
    <w:p w:rsidR="0083683D" w:rsidRDefault="0083683D" w:rsidP="007A293B">
      <w:pPr>
        <w:pStyle w:val="NormalWeb"/>
        <w:spacing w:line="276" w:lineRule="auto"/>
        <w:jc w:val="both"/>
      </w:pPr>
      <w:r>
        <w:t>Epidemiological studies, in</w:t>
      </w:r>
      <w:r w:rsidR="000B0C06">
        <w:t xml:space="preserve">cluding pooled residential case, </w:t>
      </w:r>
      <w:r>
        <w:t>control analyses and the influential BEIR VI report, have consistently demonstrated a positive association between radon exposure and lung cancer risk</w:t>
      </w:r>
      <w:r w:rsidR="005A386D">
        <w:t xml:space="preserve"> (</w:t>
      </w:r>
      <w:proofErr w:type="spellStart"/>
      <w:r w:rsidR="005A386D" w:rsidRPr="00836AEF">
        <w:t>Kinsara</w:t>
      </w:r>
      <w:proofErr w:type="spellEnd"/>
      <w:r w:rsidR="005A386D">
        <w:t xml:space="preserve"> </w:t>
      </w:r>
      <w:r w:rsidR="005A386D">
        <w:rPr>
          <w:i/>
        </w:rPr>
        <w:t>et al</w:t>
      </w:r>
      <w:r w:rsidR="005A386D">
        <w:t xml:space="preserve">., 1995; </w:t>
      </w:r>
      <w:r w:rsidR="005A386D" w:rsidRPr="00836AEF">
        <w:t>Kim</w:t>
      </w:r>
      <w:r w:rsidR="005A386D">
        <w:t xml:space="preserve"> </w:t>
      </w:r>
      <w:r w:rsidR="005A386D">
        <w:rPr>
          <w:i/>
        </w:rPr>
        <w:t>et al</w:t>
      </w:r>
      <w:r w:rsidR="005A386D">
        <w:t>., 1999)</w:t>
      </w:r>
      <w:r>
        <w:t xml:space="preserve">. However, these correlations provide only a macroscopic view of risk and leave the underlying biological mechanisms insufficiently </w:t>
      </w:r>
      <w:r>
        <w:lastRenderedPageBreak/>
        <w:t>resolved</w:t>
      </w:r>
      <w:r w:rsidR="00DA7455">
        <w:t xml:space="preserve"> (</w:t>
      </w:r>
      <w:r w:rsidR="00DA7455" w:rsidRPr="00836AEF">
        <w:t>Adams</w:t>
      </w:r>
      <w:r w:rsidR="00DA7455">
        <w:t xml:space="preserve"> </w:t>
      </w:r>
      <w:r w:rsidR="00DA7455">
        <w:rPr>
          <w:i/>
        </w:rPr>
        <w:t>et al</w:t>
      </w:r>
      <w:r w:rsidR="00DA7455">
        <w:t>., 2020)</w:t>
      </w:r>
      <w:r>
        <w:t>. The lack of a mechanistic bridge between alpha-particle track structure, DNA damage complexity, repair fidelity, and mutation fixation remains a critical scientific gap</w:t>
      </w:r>
      <w:r w:rsidR="00DA7455">
        <w:t xml:space="preserve"> (</w:t>
      </w:r>
      <w:proofErr w:type="spellStart"/>
      <w:r w:rsidR="00DA7455" w:rsidRPr="00836AEF">
        <w:t>Auwal</w:t>
      </w:r>
      <w:proofErr w:type="spellEnd"/>
      <w:r w:rsidR="00DA7455">
        <w:t xml:space="preserve"> </w:t>
      </w:r>
      <w:r w:rsidR="00DA7455">
        <w:rPr>
          <w:i/>
        </w:rPr>
        <w:t>et al</w:t>
      </w:r>
      <w:r w:rsidR="00DA7455">
        <w:t xml:space="preserve">., 2025; </w:t>
      </w:r>
      <w:r w:rsidR="00DA7455" w:rsidRPr="00836AEF">
        <w:t>Rabi</w:t>
      </w:r>
      <w:r w:rsidR="00DA7455">
        <w:t xml:space="preserve"> </w:t>
      </w:r>
      <w:r w:rsidR="00DA7455">
        <w:rPr>
          <w:i/>
        </w:rPr>
        <w:t>et al</w:t>
      </w:r>
      <w:r w:rsidR="00DA7455">
        <w:t>., 2021)</w:t>
      </w:r>
      <w:r>
        <w:t>. Without this connection, current risk models rely heavily on extrapolation from high-dose exposures, introducing uncertainty in predicting cancer outcomes at low-dose residential levels</w:t>
      </w:r>
      <w:r w:rsidR="00DA7455">
        <w:t xml:space="preserve"> (</w:t>
      </w:r>
      <w:r w:rsidR="00DA7455" w:rsidRPr="00836AEF">
        <w:rPr>
          <w:color w:val="333333"/>
        </w:rPr>
        <w:t>Chen</w:t>
      </w:r>
      <w:r w:rsidR="00DA7455">
        <w:rPr>
          <w:color w:val="333333"/>
        </w:rPr>
        <w:t xml:space="preserve"> </w:t>
      </w:r>
      <w:r w:rsidR="00DA7455">
        <w:rPr>
          <w:i/>
          <w:color w:val="333333"/>
        </w:rPr>
        <w:t>et al</w:t>
      </w:r>
      <w:r w:rsidR="00DA7455">
        <w:rPr>
          <w:color w:val="333333"/>
        </w:rPr>
        <w:t>., 2017)</w:t>
      </w:r>
      <w:r>
        <w:t>.</w:t>
      </w:r>
    </w:p>
    <w:p w:rsidR="0083683D" w:rsidRDefault="0083683D" w:rsidP="007A293B">
      <w:pPr>
        <w:pStyle w:val="NormalWeb"/>
        <w:spacing w:line="276" w:lineRule="auto"/>
        <w:jc w:val="both"/>
      </w:pPr>
      <w:r>
        <w:t>Recent advances in computational biology and radiation physics now provide a unique opportunity to address this challenge</w:t>
      </w:r>
      <w:r w:rsidR="005A386D">
        <w:t xml:space="preserve"> (</w:t>
      </w:r>
      <w:proofErr w:type="spellStart"/>
      <w:r w:rsidR="005A386D" w:rsidRPr="00836AEF">
        <w:t>Farkas</w:t>
      </w:r>
      <w:proofErr w:type="spellEnd"/>
      <w:r w:rsidR="005A386D">
        <w:t xml:space="preserve">, 2007; </w:t>
      </w:r>
      <w:proofErr w:type="spellStart"/>
      <w:r w:rsidR="005A386D" w:rsidRPr="00836AEF">
        <w:rPr>
          <w:color w:val="282828"/>
          <w:shd w:val="clear" w:color="auto" w:fill="F7F7F7"/>
        </w:rPr>
        <w:t>Dror</w:t>
      </w:r>
      <w:proofErr w:type="spellEnd"/>
      <w:r w:rsidR="005A386D">
        <w:rPr>
          <w:color w:val="282828"/>
          <w:shd w:val="clear" w:color="auto" w:fill="F7F7F7"/>
        </w:rPr>
        <w:t xml:space="preserve"> </w:t>
      </w:r>
      <w:r w:rsidR="005A386D">
        <w:rPr>
          <w:i/>
          <w:color w:val="282828"/>
          <w:shd w:val="clear" w:color="auto" w:fill="F7F7F7"/>
        </w:rPr>
        <w:t>et al</w:t>
      </w:r>
      <w:r w:rsidR="005A386D">
        <w:rPr>
          <w:color w:val="282828"/>
          <w:shd w:val="clear" w:color="auto" w:fill="F7F7F7"/>
        </w:rPr>
        <w:t>., 2012)</w:t>
      </w:r>
      <w:r>
        <w:t xml:space="preserve">. Monte Carlo track-structure codes such as </w:t>
      </w:r>
      <w:r w:rsidRPr="00653F46">
        <w:rPr>
          <w:rStyle w:val="Strong"/>
          <w:b w:val="0"/>
        </w:rPr>
        <w:t>Geant4-DNA</w:t>
      </w:r>
      <w:r>
        <w:t xml:space="preserve"> and </w:t>
      </w:r>
      <w:r w:rsidRPr="00653F46">
        <w:rPr>
          <w:rStyle w:val="Strong"/>
          <w:b w:val="0"/>
        </w:rPr>
        <w:t>PARTRAC</w:t>
      </w:r>
      <w:r>
        <w:t xml:space="preserve"> can model alpha-particle interactions with subcellular structures at nanometer resolution, enabling precise characterization of ionization events within DNA</w:t>
      </w:r>
      <w:r w:rsidR="00DA7455">
        <w:t xml:space="preserve"> (</w:t>
      </w:r>
      <w:r w:rsidR="00DA7455">
        <w:rPr>
          <w:color w:val="333333"/>
        </w:rPr>
        <w:t xml:space="preserve">Abraham </w:t>
      </w:r>
      <w:r w:rsidR="00DA7455">
        <w:rPr>
          <w:i/>
          <w:color w:val="333333"/>
        </w:rPr>
        <w:t>et al</w:t>
      </w:r>
      <w:r w:rsidR="00DA7455">
        <w:rPr>
          <w:color w:val="333333"/>
        </w:rPr>
        <w:t>., 2015)</w:t>
      </w:r>
      <w:r>
        <w:t xml:space="preserve">. Complementarily, atomistic molecular dynamics (MD) simulations using packages such as </w:t>
      </w:r>
      <w:r w:rsidRPr="00653F46">
        <w:rPr>
          <w:rStyle w:val="Strong"/>
          <w:b w:val="0"/>
        </w:rPr>
        <w:t>GROMACS</w:t>
      </w:r>
      <w:r w:rsidRPr="00653F46">
        <w:t>,</w:t>
      </w:r>
      <w:r w:rsidRPr="00653F46">
        <w:rPr>
          <w:b/>
        </w:rPr>
        <w:t xml:space="preserve"> </w:t>
      </w:r>
      <w:r w:rsidRPr="00653F46">
        <w:rPr>
          <w:rStyle w:val="Strong"/>
          <w:b w:val="0"/>
        </w:rPr>
        <w:t>NAMD</w:t>
      </w:r>
      <w:r>
        <w:t xml:space="preserve">, or </w:t>
      </w:r>
      <w:r w:rsidRPr="00653F46">
        <w:rPr>
          <w:rStyle w:val="Strong"/>
          <w:b w:val="0"/>
        </w:rPr>
        <w:t>AMBER</w:t>
      </w:r>
      <w:r>
        <w:t xml:space="preserve"> can capture the structural and chemical evolution of DNA lesions, as well as the influence of oxidative stress on clustered damage progression</w:t>
      </w:r>
      <w:r w:rsidR="00DA7455">
        <w:t xml:space="preserve"> (</w:t>
      </w:r>
      <w:proofErr w:type="spellStart"/>
      <w:r w:rsidR="00DA7455" w:rsidRPr="00836AEF">
        <w:t>Balashazy</w:t>
      </w:r>
      <w:proofErr w:type="spellEnd"/>
      <w:r w:rsidR="00DA7455">
        <w:t xml:space="preserve"> </w:t>
      </w:r>
      <w:r w:rsidR="00DA7455">
        <w:rPr>
          <w:i/>
        </w:rPr>
        <w:t>et al</w:t>
      </w:r>
      <w:r w:rsidR="00DA7455">
        <w:t xml:space="preserve">., 2009; </w:t>
      </w:r>
      <w:r w:rsidR="00DA7455" w:rsidRPr="00836AEF">
        <w:t>Benson</w:t>
      </w:r>
      <w:r w:rsidR="00DA7455">
        <w:t>, 2019)</w:t>
      </w:r>
      <w:r>
        <w:t xml:space="preserve">. Coarse-grained MD approaches further allow exploration of DNA repair protein kinetics (e.g., ATM, PARP, Ku70/80) at lesion sites, shedding light on how repair inefficiencies or </w:t>
      </w:r>
      <w:proofErr w:type="spellStart"/>
      <w:r>
        <w:t>misrepair</w:t>
      </w:r>
      <w:proofErr w:type="spellEnd"/>
      <w:r>
        <w:t xml:space="preserve"> events contribute to genomic instability.</w:t>
      </w:r>
    </w:p>
    <w:p w:rsidR="0083683D" w:rsidRDefault="0083683D" w:rsidP="007A293B">
      <w:pPr>
        <w:pStyle w:val="NormalWeb"/>
        <w:spacing w:line="276" w:lineRule="auto"/>
        <w:jc w:val="both"/>
      </w:pPr>
      <w:r>
        <w:t>Integrating these molecular-scale simulations with higher-l</w:t>
      </w:r>
      <w:r w:rsidR="007D5BED">
        <w:t xml:space="preserve">evel systems biology frameworks; </w:t>
      </w:r>
      <w:r>
        <w:t xml:space="preserve">such as cell survival models, multistage clonal expansion (MSCE) models, and biologically based dose-response </w:t>
      </w:r>
      <w:r w:rsidR="007D5BED">
        <w:t xml:space="preserve">(BBDR) models </w:t>
      </w:r>
      <w:r>
        <w:t>creates a multi-scale pipeline spanning radiation physics to cancer epidemiology</w:t>
      </w:r>
      <w:r w:rsidR="000D135D">
        <w:t xml:space="preserve"> (</w:t>
      </w:r>
      <w:r w:rsidR="000D135D" w:rsidRPr="00E00D1A">
        <w:t>Wang</w:t>
      </w:r>
      <w:r w:rsidR="000D135D">
        <w:t>, 2011)</w:t>
      </w:r>
      <w:r>
        <w:t>. This approach has the potential to transform lung cancer risk assessment by grounding it in mechanistic biology rather than purely statistical associations.</w:t>
      </w:r>
    </w:p>
    <w:p w:rsidR="00BF49C8" w:rsidRDefault="0083683D" w:rsidP="00BF49C8">
      <w:pPr>
        <w:pStyle w:val="NormalWeb"/>
        <w:spacing w:line="276" w:lineRule="auto"/>
        <w:jc w:val="both"/>
      </w:pPr>
      <w:r>
        <w:t>The present study aims to advance this integration by (</w:t>
      </w:r>
      <w:proofErr w:type="spellStart"/>
      <w:r>
        <w:t>i</w:t>
      </w:r>
      <w:proofErr w:type="spellEnd"/>
      <w:r>
        <w:t>) simulating radon progeny alpha-particle track structures in lung epithelial DNA using Monte Carlo methods, (ii) modeling the atomistic evolution of clustered DNA damage under oxidative stress, (iii) characterizing repair protein binding kinetics via coarse-grained MD, and (iv) linking molecular outcomes to cell fate and mutation accumulation within systems-level carcinogenesis models. By bridging physics, molecular biology, and epidemiology, this work offers a novel mechanistic perspective on radon-induced carcinogenesis and provides a foundation for refining cancer risk models—particularly under low-dose residential exposure scenarios relevant to public health policy and radon mitigation strategies.</w:t>
      </w:r>
    </w:p>
    <w:p w:rsidR="007A293B" w:rsidRPr="004216A0" w:rsidRDefault="00BF49C8" w:rsidP="00BF49C8">
      <w:pPr>
        <w:pStyle w:val="NormalWeb"/>
        <w:spacing w:line="276" w:lineRule="auto"/>
        <w:jc w:val="both"/>
        <w:rPr>
          <w:b/>
          <w:sz w:val="28"/>
          <w:szCs w:val="28"/>
        </w:rPr>
      </w:pPr>
      <w:r w:rsidRPr="004216A0">
        <w:rPr>
          <w:b/>
          <w:spacing w:val="-2"/>
          <w:sz w:val="28"/>
          <w:szCs w:val="28"/>
        </w:rPr>
        <w:t xml:space="preserve">Materials and </w:t>
      </w:r>
      <w:r w:rsidR="007A293B" w:rsidRPr="004216A0">
        <w:rPr>
          <w:b/>
          <w:spacing w:val="-2"/>
          <w:sz w:val="28"/>
          <w:szCs w:val="28"/>
        </w:rPr>
        <w:t>Methods</w:t>
      </w:r>
    </w:p>
    <w:p w:rsidR="007A293B" w:rsidRPr="004216A0" w:rsidRDefault="00C42A9A" w:rsidP="00C42A9A">
      <w:pPr>
        <w:pStyle w:val="Heading2"/>
        <w:keepNext w:val="0"/>
        <w:keepLines w:val="0"/>
        <w:widowControl w:val="0"/>
        <w:tabs>
          <w:tab w:val="left" w:pos="366"/>
        </w:tabs>
        <w:autoSpaceDE w:val="0"/>
        <w:autoSpaceDN w:val="0"/>
        <w:spacing w:before="203" w:line="240" w:lineRule="auto"/>
        <w:rPr>
          <w:rFonts w:ascii="Times New Roman" w:hAnsi="Times New Roman" w:cs="Times New Roman"/>
          <w:b/>
          <w:color w:val="auto"/>
          <w:sz w:val="28"/>
          <w:szCs w:val="28"/>
        </w:rPr>
      </w:pPr>
      <w:r w:rsidRPr="004216A0">
        <w:rPr>
          <w:rFonts w:ascii="Times New Roman" w:hAnsi="Times New Roman" w:cs="Times New Roman"/>
          <w:b/>
          <w:color w:val="auto"/>
          <w:sz w:val="28"/>
          <w:szCs w:val="28"/>
        </w:rPr>
        <w:t>Spatial distribution of ionization events in a lung cell nucleus. Using Radon progeny energy spectrum, lung geometry, chromatin compaction.</w:t>
      </w:r>
    </w:p>
    <w:p w:rsidR="000C4729" w:rsidRDefault="007A293B" w:rsidP="004216A0">
      <w:pPr>
        <w:pStyle w:val="BodyText"/>
        <w:spacing w:before="86" w:line="276" w:lineRule="auto"/>
        <w:jc w:val="both"/>
        <w:rPr>
          <w:rFonts w:ascii="Times New Roman" w:eastAsia="Times New Roman" w:hAnsi="Times New Roman" w:cs="Times New Roman"/>
          <w:sz w:val="24"/>
          <w:szCs w:val="24"/>
        </w:rPr>
      </w:pPr>
      <w:r w:rsidRPr="007A293B">
        <w:rPr>
          <w:rFonts w:ascii="Times New Roman" w:hAnsi="Times New Roman" w:cs="Times New Roman"/>
          <w:sz w:val="24"/>
          <w:szCs w:val="24"/>
        </w:rPr>
        <w:t>Using</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radon</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progeny</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energy</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spectra</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and</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lung</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airway</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geometry,</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alpha-particle</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track</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structures</w:t>
      </w:r>
      <w:r w:rsidRPr="007A293B">
        <w:rPr>
          <w:rFonts w:ascii="Times New Roman" w:hAnsi="Times New Roman" w:cs="Times New Roman"/>
          <w:spacing w:val="-5"/>
          <w:sz w:val="24"/>
          <w:szCs w:val="24"/>
        </w:rPr>
        <w:t xml:space="preserve"> </w:t>
      </w:r>
      <w:r w:rsidRPr="007A293B">
        <w:rPr>
          <w:rFonts w:ascii="Times New Roman" w:hAnsi="Times New Roman" w:cs="Times New Roman"/>
          <w:sz w:val="24"/>
          <w:szCs w:val="24"/>
        </w:rPr>
        <w:t xml:space="preserve">were simulated to obtain spatial ionization patterns in chromatin. Chromatin compaction was modeled to reflect </w:t>
      </w:r>
      <w:proofErr w:type="spellStart"/>
      <w:r w:rsidRPr="007A293B">
        <w:rPr>
          <w:rFonts w:ascii="Times New Roman" w:hAnsi="Times New Roman" w:cs="Times New Roman"/>
          <w:sz w:val="24"/>
          <w:szCs w:val="24"/>
        </w:rPr>
        <w:t>euchromatin</w:t>
      </w:r>
      <w:proofErr w:type="spellEnd"/>
      <w:r w:rsidRPr="007A293B">
        <w:rPr>
          <w:rFonts w:ascii="Times New Roman" w:hAnsi="Times New Roman" w:cs="Times New Roman"/>
          <w:sz w:val="24"/>
          <w:szCs w:val="24"/>
        </w:rPr>
        <w:t xml:space="preserve"> and heterochromatin density </w:t>
      </w:r>
      <w:r w:rsidR="00C42A9A" w:rsidRPr="007A293B">
        <w:rPr>
          <w:rFonts w:ascii="Times New Roman" w:hAnsi="Times New Roman" w:cs="Times New Roman"/>
          <w:sz w:val="24"/>
          <w:szCs w:val="24"/>
        </w:rPr>
        <w:t>differences. The</w:t>
      </w:r>
      <w:r w:rsidRPr="007A293B">
        <w:rPr>
          <w:rFonts w:ascii="Times New Roman" w:hAnsi="Times New Roman" w:cs="Times New Roman"/>
          <w:sz w:val="24"/>
          <w:szCs w:val="24"/>
        </w:rPr>
        <w:t xml:space="preserve"> simulated the spatial distribution of ionization events in a spherical lung cell nucleus using a simple Monte-Carlo t</w:t>
      </w:r>
      <w:r w:rsidR="00653F46">
        <w:rPr>
          <w:rFonts w:ascii="Times New Roman" w:hAnsi="Times New Roman" w:cs="Times New Roman"/>
          <w:sz w:val="24"/>
          <w:szCs w:val="24"/>
        </w:rPr>
        <w:t xml:space="preserve">rack </w:t>
      </w:r>
      <w:r w:rsidR="00653F46">
        <w:rPr>
          <w:rFonts w:ascii="Times New Roman" w:hAnsi="Times New Roman" w:cs="Times New Roman"/>
          <w:sz w:val="24"/>
          <w:szCs w:val="24"/>
        </w:rPr>
        <w:lastRenderedPageBreak/>
        <w:t xml:space="preserve">model (alpha energies for </w:t>
      </w:r>
      <w:r w:rsidRPr="00653F46">
        <w:rPr>
          <w:rFonts w:ascii="Times New Roman" w:hAnsi="Times New Roman" w:cs="Times New Roman"/>
          <w:sz w:val="24"/>
          <w:szCs w:val="24"/>
          <w:vertAlign w:val="superscript"/>
        </w:rPr>
        <w:t>218</w:t>
      </w:r>
      <w:r w:rsidR="00653F46">
        <w:rPr>
          <w:rFonts w:ascii="Times New Roman" w:hAnsi="Times New Roman" w:cs="Times New Roman"/>
          <w:sz w:val="24"/>
          <w:szCs w:val="24"/>
        </w:rPr>
        <w:t xml:space="preserve">Po and </w:t>
      </w:r>
      <w:r w:rsidRPr="00653F46">
        <w:rPr>
          <w:rFonts w:ascii="Times New Roman" w:hAnsi="Times New Roman" w:cs="Times New Roman"/>
          <w:sz w:val="24"/>
          <w:szCs w:val="24"/>
          <w:vertAlign w:val="superscript"/>
        </w:rPr>
        <w:t>214</w:t>
      </w:r>
      <w:r w:rsidRPr="007A293B">
        <w:rPr>
          <w:rFonts w:ascii="Times New Roman" w:hAnsi="Times New Roman" w:cs="Times New Roman"/>
          <w:sz w:val="24"/>
          <w:szCs w:val="24"/>
        </w:rPr>
        <w:t>Po), a nucleus radius of 5 µm, and heterochromatin blobs filling ~35% of nuclear volume.</w:t>
      </w:r>
      <w:r w:rsidR="00C42A9A">
        <w:rPr>
          <w:rFonts w:ascii="Times New Roman" w:hAnsi="Times New Roman" w:cs="Times New Roman"/>
          <w:sz w:val="24"/>
          <w:szCs w:val="24"/>
        </w:rPr>
        <w:t xml:space="preserve"> </w:t>
      </w:r>
      <w:r w:rsidR="00C42A9A" w:rsidRPr="00B06F3D">
        <w:rPr>
          <w:rFonts w:ascii="Times New Roman" w:eastAsia="Times New Roman" w:hAnsi="Times New Roman" w:cs="Times New Roman"/>
          <w:sz w:val="24"/>
          <w:szCs w:val="24"/>
        </w:rPr>
        <w:t xml:space="preserve">Chromatin organization within the nucleus was represented by randomly distributed, non-overlapping heterochromatin domains modeled as spherical blobs of radius </w:t>
      </w:r>
      <w:r w:rsidR="00C42A9A" w:rsidRPr="00B06F3D">
        <w:rPr>
          <w:rFonts w:ascii="Times New Roman" w:eastAsia="Times New Roman" w:hAnsi="Times New Roman" w:cs="Times New Roman"/>
          <w:b/>
          <w:bCs/>
          <w:sz w:val="24"/>
          <w:szCs w:val="24"/>
        </w:rPr>
        <w:t>r ≈ 0.6 µm</w:t>
      </w:r>
      <w:r w:rsidR="00C42A9A" w:rsidRPr="00B06F3D">
        <w:rPr>
          <w:rFonts w:ascii="Times New Roman" w:eastAsia="Times New Roman" w:hAnsi="Times New Roman" w:cs="Times New Roman"/>
          <w:sz w:val="24"/>
          <w:szCs w:val="24"/>
        </w:rPr>
        <w:t>. The desired heterochromatin fraction was imposed by adjusting the spatial distribution of blobs, while ensuring exclusion overlap.</w:t>
      </w:r>
    </w:p>
    <w:p w:rsidR="004216A0" w:rsidRPr="004216A0" w:rsidRDefault="004216A0" w:rsidP="004216A0">
      <w:pPr>
        <w:pStyle w:val="BodyText"/>
        <w:spacing w:before="86" w:line="276" w:lineRule="auto"/>
        <w:jc w:val="both"/>
        <w:rPr>
          <w:rFonts w:ascii="Times New Roman" w:eastAsia="Times New Roman" w:hAnsi="Times New Roman" w:cs="Times New Roman"/>
          <w:sz w:val="28"/>
          <w:szCs w:val="28"/>
        </w:rPr>
      </w:pPr>
      <w:r w:rsidRPr="004216A0">
        <w:rPr>
          <w:rFonts w:ascii="Times New Roman" w:eastAsia="Times New Roman" w:hAnsi="Times New Roman" w:cs="Times New Roman"/>
          <w:b/>
          <w:bCs/>
          <w:sz w:val="28"/>
          <w:szCs w:val="28"/>
        </w:rPr>
        <w:t>Energy Spectrum and Ionization Parameters</w:t>
      </w:r>
    </w:p>
    <w:p w:rsidR="004216A0" w:rsidRDefault="00B06F3D" w:rsidP="004216A0">
      <w:pPr>
        <w:spacing w:line="276" w:lineRule="auto"/>
        <w:jc w:val="both"/>
        <w:rPr>
          <w:rFonts w:ascii="Times New Roman" w:eastAsia="Times New Roman" w:hAnsi="Times New Roman" w:cs="Times New Roman"/>
          <w:b/>
          <w:bCs/>
          <w:sz w:val="24"/>
          <w:szCs w:val="24"/>
        </w:rPr>
      </w:pPr>
      <w:r w:rsidRPr="00B06F3D">
        <w:rPr>
          <w:rFonts w:ascii="Times New Roman" w:eastAsia="Times New Roman" w:hAnsi="Times New Roman" w:cs="Times New Roman"/>
          <w:sz w:val="24"/>
          <w:szCs w:val="24"/>
        </w:rPr>
        <w:t xml:space="preserve">Radon progeny alpha particles were modeled with a dual-energy spectrum consisting of 6.00 MeV (50%) and 7.69 MeV (50%) components. The corresponding linear energy transfer (LET) values were approximately 120 </w:t>
      </w:r>
      <w:proofErr w:type="spellStart"/>
      <w:r w:rsidRPr="00B06F3D">
        <w:rPr>
          <w:rFonts w:ascii="Times New Roman" w:eastAsia="Times New Roman" w:hAnsi="Times New Roman" w:cs="Times New Roman"/>
          <w:sz w:val="24"/>
          <w:szCs w:val="24"/>
        </w:rPr>
        <w:t>keV</w:t>
      </w:r>
      <w:proofErr w:type="spellEnd"/>
      <w:r w:rsidRPr="00B06F3D">
        <w:rPr>
          <w:rFonts w:ascii="Times New Roman" w:eastAsia="Times New Roman" w:hAnsi="Times New Roman" w:cs="Times New Roman"/>
          <w:sz w:val="24"/>
          <w:szCs w:val="24"/>
        </w:rPr>
        <w:t xml:space="preserve">/µm and 100 </w:t>
      </w:r>
      <w:proofErr w:type="spellStart"/>
      <w:r w:rsidRPr="00B06F3D">
        <w:rPr>
          <w:rFonts w:ascii="Times New Roman" w:eastAsia="Times New Roman" w:hAnsi="Times New Roman" w:cs="Times New Roman"/>
          <w:sz w:val="24"/>
          <w:szCs w:val="24"/>
        </w:rPr>
        <w:t>keV</w:t>
      </w:r>
      <w:proofErr w:type="spellEnd"/>
      <w:r w:rsidRPr="00B06F3D">
        <w:rPr>
          <w:rFonts w:ascii="Times New Roman" w:eastAsia="Times New Roman" w:hAnsi="Times New Roman" w:cs="Times New Roman"/>
          <w:sz w:val="24"/>
          <w:szCs w:val="24"/>
        </w:rPr>
        <w:t xml:space="preserve">/µm, respectively. The number of ion pairs generated per unit track length was calculated using an average energy expenditure of </w:t>
      </w:r>
      <w:r w:rsidRPr="004216A0">
        <w:rPr>
          <w:rFonts w:ascii="Times New Roman" w:eastAsia="Times New Roman" w:hAnsi="Times New Roman" w:cs="Times New Roman"/>
          <w:bCs/>
          <w:sz w:val="24"/>
          <w:szCs w:val="24"/>
        </w:rPr>
        <w:t>W = 33.7 eV</w:t>
      </w:r>
      <w:r w:rsidRPr="00B06F3D">
        <w:rPr>
          <w:rFonts w:ascii="Times New Roman" w:eastAsia="Times New Roman" w:hAnsi="Times New Roman" w:cs="Times New Roman"/>
          <w:sz w:val="24"/>
          <w:szCs w:val="24"/>
        </w:rPr>
        <w:t xml:space="preserve"> per ion pair.</w:t>
      </w:r>
      <w:r w:rsidR="00C026C2">
        <w:rPr>
          <w:rFonts w:ascii="Times New Roman" w:eastAsia="Times New Roman" w:hAnsi="Times New Roman" w:cs="Times New Roman"/>
          <w:sz w:val="24"/>
          <w:szCs w:val="24"/>
        </w:rPr>
        <w:t xml:space="preserve"> The </w:t>
      </w:r>
      <w:r w:rsidR="00C026C2" w:rsidRPr="00C026C2">
        <w:rPr>
          <w:rFonts w:ascii="Times New Roman" w:hAnsi="Times New Roman" w:cs="Times New Roman"/>
          <w:sz w:val="24"/>
          <w:szCs w:val="24"/>
        </w:rPr>
        <w:t>simulated the spatial distribution of ionization events in a spherical lung cell nucleus using a simple Monte-Carlo t</w:t>
      </w:r>
      <w:r w:rsidR="00C026C2">
        <w:rPr>
          <w:rFonts w:ascii="Times New Roman" w:hAnsi="Times New Roman" w:cs="Times New Roman"/>
          <w:sz w:val="24"/>
          <w:szCs w:val="24"/>
        </w:rPr>
        <w:t xml:space="preserve">rack model (alpha energies for </w:t>
      </w:r>
      <w:r w:rsidR="00C026C2" w:rsidRPr="00C026C2">
        <w:rPr>
          <w:rFonts w:ascii="Times New Roman" w:hAnsi="Times New Roman" w:cs="Times New Roman"/>
          <w:sz w:val="24"/>
          <w:szCs w:val="24"/>
          <w:vertAlign w:val="superscript"/>
        </w:rPr>
        <w:t>218</w:t>
      </w:r>
      <w:r w:rsidR="00C026C2" w:rsidRPr="00C026C2">
        <w:rPr>
          <w:rFonts w:ascii="Times New Roman" w:hAnsi="Times New Roman" w:cs="Times New Roman"/>
          <w:sz w:val="24"/>
          <w:szCs w:val="24"/>
        </w:rPr>
        <w:t>Po</w:t>
      </w:r>
      <w:r w:rsidR="00C026C2">
        <w:rPr>
          <w:rFonts w:ascii="Times New Roman" w:hAnsi="Times New Roman" w:cs="Times New Roman"/>
          <w:sz w:val="24"/>
          <w:szCs w:val="24"/>
        </w:rPr>
        <w:t xml:space="preserve"> and </w:t>
      </w:r>
      <w:r w:rsidR="00C026C2" w:rsidRPr="00C026C2">
        <w:rPr>
          <w:rFonts w:ascii="Times New Roman" w:hAnsi="Times New Roman" w:cs="Times New Roman"/>
          <w:sz w:val="24"/>
          <w:szCs w:val="24"/>
          <w:vertAlign w:val="superscript"/>
        </w:rPr>
        <w:t>214</w:t>
      </w:r>
      <w:r w:rsidR="00C026C2" w:rsidRPr="00C026C2">
        <w:rPr>
          <w:rFonts w:ascii="Times New Roman" w:hAnsi="Times New Roman" w:cs="Times New Roman"/>
          <w:sz w:val="24"/>
          <w:szCs w:val="24"/>
        </w:rPr>
        <w:t>Po), a nucleus radius of 5 µm, and heterochromatin blobs filling ~35% of nuclear volume.</w:t>
      </w:r>
    </w:p>
    <w:p w:rsidR="004216A0" w:rsidRPr="004216A0" w:rsidRDefault="004216A0" w:rsidP="004216A0">
      <w:pPr>
        <w:spacing w:line="276" w:lineRule="auto"/>
        <w:jc w:val="both"/>
        <w:rPr>
          <w:rFonts w:ascii="Times New Roman" w:eastAsia="Times New Roman" w:hAnsi="Times New Roman" w:cs="Times New Roman"/>
          <w:b/>
          <w:bCs/>
          <w:sz w:val="28"/>
          <w:szCs w:val="28"/>
        </w:rPr>
      </w:pPr>
      <w:r w:rsidRPr="004216A0">
        <w:rPr>
          <w:rFonts w:ascii="Times New Roman" w:eastAsia="Times New Roman" w:hAnsi="Times New Roman" w:cs="Times New Roman"/>
          <w:b/>
          <w:bCs/>
          <w:sz w:val="28"/>
          <w:szCs w:val="28"/>
        </w:rPr>
        <w:t>Lung Cell Geometry and Source Sampling</w:t>
      </w:r>
    </w:p>
    <w:p w:rsidR="00B06F3D" w:rsidRPr="004216A0" w:rsidRDefault="00C026C2" w:rsidP="004216A0">
      <w:pPr>
        <w:spacing w:line="276" w:lineRule="auto"/>
        <w:jc w:val="both"/>
        <w:rPr>
          <w:rFonts w:ascii="Times New Roman" w:eastAsia="Times New Roman" w:hAnsi="Times New Roman" w:cs="Times New Roman"/>
          <w:b/>
          <w:bCs/>
          <w:sz w:val="24"/>
          <w:szCs w:val="24"/>
        </w:rPr>
      </w:pPr>
      <w:r w:rsidRPr="00B06F3D">
        <w:rPr>
          <w:rFonts w:ascii="Times New Roman" w:eastAsia="Times New Roman" w:hAnsi="Times New Roman" w:cs="Times New Roman"/>
          <w:sz w:val="24"/>
          <w:szCs w:val="24"/>
        </w:rPr>
        <w:t xml:space="preserve">The lung epithelial cell model was constructed with the nucleus centrally located beneath the airway-facing surface. Alpha-particle sources were sampled from a planar distribution positioned </w:t>
      </w:r>
      <w:r w:rsidRPr="004216A0">
        <w:rPr>
          <w:rFonts w:ascii="Times New Roman" w:eastAsia="Times New Roman" w:hAnsi="Times New Roman" w:cs="Times New Roman"/>
          <w:bCs/>
          <w:sz w:val="24"/>
          <w:szCs w:val="24"/>
        </w:rPr>
        <w:t>6 µm above the nuclear boundary</w:t>
      </w:r>
      <w:r w:rsidRPr="00B06F3D">
        <w:rPr>
          <w:rFonts w:ascii="Times New Roman" w:eastAsia="Times New Roman" w:hAnsi="Times New Roman" w:cs="Times New Roman"/>
          <w:sz w:val="24"/>
          <w:szCs w:val="24"/>
        </w:rPr>
        <w:t>, representing deposition sites of inhaled progeny on the airway epithelium. Particle trajectories were directed toward the nucleus to mimic realistic irradiation geometries.</w:t>
      </w:r>
    </w:p>
    <w:p w:rsidR="00F5332F" w:rsidRPr="004216A0" w:rsidRDefault="00F5332F" w:rsidP="004216A0">
      <w:pPr>
        <w:spacing w:before="100" w:beforeAutospacing="1" w:after="100" w:afterAutospacing="1" w:line="240" w:lineRule="auto"/>
        <w:jc w:val="both"/>
        <w:rPr>
          <w:rFonts w:ascii="Times New Roman" w:hAnsi="Times New Roman" w:cs="Times New Roman"/>
          <w:b/>
          <w:sz w:val="28"/>
          <w:szCs w:val="28"/>
        </w:rPr>
      </w:pPr>
      <w:r w:rsidRPr="004216A0">
        <w:rPr>
          <w:rFonts w:ascii="Times New Roman" w:hAnsi="Times New Roman" w:cs="Times New Roman"/>
          <w:b/>
          <w:sz w:val="28"/>
          <w:szCs w:val="28"/>
        </w:rPr>
        <w:t>Simulation of DNA fragments with clustered ionization events → observe base damage, single-strand breaks, and DSB formation.</w:t>
      </w:r>
    </w:p>
    <w:p w:rsidR="00F5332F" w:rsidRPr="00F5332F" w:rsidRDefault="00F5332F" w:rsidP="004216A0">
      <w:pPr>
        <w:spacing w:before="100" w:beforeAutospacing="1" w:after="100" w:afterAutospacing="1" w:line="276" w:lineRule="auto"/>
        <w:jc w:val="both"/>
        <w:rPr>
          <w:rFonts w:ascii="Times New Roman" w:eastAsia="Times New Roman" w:hAnsi="Times New Roman" w:cs="Times New Roman"/>
          <w:sz w:val="24"/>
          <w:szCs w:val="24"/>
        </w:rPr>
      </w:pPr>
      <w:r w:rsidRPr="00F5332F">
        <w:rPr>
          <w:rFonts w:ascii="Times New Roman" w:eastAsia="Times New Roman" w:hAnsi="Times New Roman" w:cs="Times New Roman"/>
          <w:sz w:val="24"/>
          <w:szCs w:val="24"/>
        </w:rPr>
        <w:t>A simplified computational model was developed to represent DNA fragments within the cell nucleus and to assess radiation-induced damage from clustered ionization events. The nucleus was populated with straight DNA segments of approximately 300 base pairs (</w:t>
      </w:r>
      <w:proofErr w:type="spellStart"/>
      <w:r w:rsidRPr="00F5332F">
        <w:rPr>
          <w:rFonts w:ascii="Times New Roman" w:eastAsia="Times New Roman" w:hAnsi="Times New Roman" w:cs="Times New Roman"/>
          <w:sz w:val="24"/>
          <w:szCs w:val="24"/>
        </w:rPr>
        <w:t>bp</w:t>
      </w:r>
      <w:proofErr w:type="spellEnd"/>
      <w:r w:rsidRPr="00F5332F">
        <w:rPr>
          <w:rFonts w:ascii="Times New Roman" w:eastAsia="Times New Roman" w:hAnsi="Times New Roman" w:cs="Times New Roman"/>
          <w:sz w:val="24"/>
          <w:szCs w:val="24"/>
        </w:rPr>
        <w:t xml:space="preserve">) in length, corresponding to a fragment size of ~102 nm (0.102 µm). Base pairs and the sugar–phosphate backbones were represented as discrete points along the fragment axis. Ionization events were mapped onto these fragments using a Monte Carlo–based spatial model. Where available, experimental ionization point clouds (from </w:t>
      </w:r>
      <w:r w:rsidRPr="00F5332F">
        <w:rPr>
          <w:rFonts w:ascii="Courier New" w:eastAsia="Times New Roman" w:hAnsi="Courier New" w:cs="Courier New"/>
          <w:sz w:val="20"/>
          <w:szCs w:val="20"/>
        </w:rPr>
        <w:t>/</w:t>
      </w:r>
      <w:proofErr w:type="spellStart"/>
      <w:r w:rsidRPr="00F5332F">
        <w:rPr>
          <w:rFonts w:ascii="Courier New" w:eastAsia="Times New Roman" w:hAnsi="Courier New" w:cs="Courier New"/>
          <w:sz w:val="20"/>
          <w:szCs w:val="20"/>
        </w:rPr>
        <w:t>mnt</w:t>
      </w:r>
      <w:proofErr w:type="spellEnd"/>
      <w:r w:rsidRPr="00F5332F">
        <w:rPr>
          <w:rFonts w:ascii="Courier New" w:eastAsia="Times New Roman" w:hAnsi="Courier New" w:cs="Courier New"/>
          <w:sz w:val="20"/>
          <w:szCs w:val="20"/>
        </w:rPr>
        <w:t>/data/lung_nucleus_ionizations.csv</w:t>
      </w:r>
      <w:r w:rsidRPr="00F5332F">
        <w:rPr>
          <w:rFonts w:ascii="Times New Roman" w:eastAsia="Times New Roman" w:hAnsi="Times New Roman" w:cs="Times New Roman"/>
          <w:sz w:val="24"/>
          <w:szCs w:val="24"/>
        </w:rPr>
        <w:t>) were employed; otherwise, synthetic clustered ions were generated to mimic the spatial distribution of high-linear energy transfer (LET) tracks.</w:t>
      </w:r>
    </w:p>
    <w:p w:rsidR="00F5332F" w:rsidRPr="00F5332F" w:rsidRDefault="00F5332F" w:rsidP="004216A0">
      <w:pPr>
        <w:spacing w:before="100" w:beforeAutospacing="1" w:after="100" w:afterAutospacing="1" w:line="276" w:lineRule="auto"/>
        <w:jc w:val="both"/>
        <w:rPr>
          <w:rFonts w:ascii="Times New Roman" w:eastAsia="Times New Roman" w:hAnsi="Times New Roman" w:cs="Times New Roman"/>
          <w:sz w:val="24"/>
          <w:szCs w:val="24"/>
        </w:rPr>
      </w:pPr>
      <w:r w:rsidRPr="00F5332F">
        <w:rPr>
          <w:rFonts w:ascii="Times New Roman" w:eastAsia="Times New Roman" w:hAnsi="Times New Roman" w:cs="Times New Roman"/>
          <w:sz w:val="24"/>
          <w:szCs w:val="24"/>
        </w:rPr>
        <w:t xml:space="preserve">Ion-to-damage conversion was governed by stochastic mapping rules. An ion passing within ~2 nm of a base center was considered a potential base hit, producing chemical base damage with a probability of 0.7. For the sugar–phosphate backbone, ions within ~1.5 nm could induce a single-strand break (SSB) on the affected strand with a probability of 0.25. Double-strand breaks (DSBs) were defined as coincident SSBs on opposite strands within ±10 </w:t>
      </w:r>
      <w:proofErr w:type="spellStart"/>
      <w:r w:rsidRPr="00F5332F">
        <w:rPr>
          <w:rFonts w:ascii="Times New Roman" w:eastAsia="Times New Roman" w:hAnsi="Times New Roman" w:cs="Times New Roman"/>
          <w:sz w:val="24"/>
          <w:szCs w:val="24"/>
        </w:rPr>
        <w:t>bp.</w:t>
      </w:r>
      <w:proofErr w:type="spellEnd"/>
      <w:r w:rsidRPr="00F5332F">
        <w:rPr>
          <w:rFonts w:ascii="Times New Roman" w:eastAsia="Times New Roman" w:hAnsi="Times New Roman" w:cs="Times New Roman"/>
          <w:sz w:val="24"/>
          <w:szCs w:val="24"/>
        </w:rPr>
        <w:t xml:space="preserve"> The hydrogen-bonding stability of the DNA was assessed by assigning bases with a guanine–cytosine fraction of 0.42 (G–</w:t>
      </w:r>
      <w:r w:rsidRPr="00F5332F">
        <w:rPr>
          <w:rFonts w:ascii="Times New Roman" w:eastAsia="Times New Roman" w:hAnsi="Times New Roman" w:cs="Times New Roman"/>
          <w:sz w:val="24"/>
          <w:szCs w:val="24"/>
        </w:rPr>
        <w:lastRenderedPageBreak/>
        <w:t>C pairs carrying three hydrogen bonds and A–T pairs two). Damage-induced hydrogen bond disruption was quantified, and helical stability was calculated as the fraction of intact hydrogen bonds. Structural distortion was estimated by normalizing the maximum consecutive lesions to the total fragment length, serving as a simple proxy for local helix destabilization.</w:t>
      </w:r>
    </w:p>
    <w:p w:rsidR="00BF49C8" w:rsidRDefault="00F5332F" w:rsidP="004216A0">
      <w:pPr>
        <w:spacing w:before="100" w:beforeAutospacing="1" w:after="100" w:afterAutospacing="1" w:line="276" w:lineRule="auto"/>
        <w:jc w:val="both"/>
        <w:rPr>
          <w:rFonts w:ascii="Times New Roman" w:hAnsi="Times New Roman" w:cs="Times New Roman"/>
          <w:sz w:val="24"/>
          <w:szCs w:val="24"/>
        </w:rPr>
      </w:pPr>
      <w:r w:rsidRPr="00F5332F">
        <w:rPr>
          <w:rFonts w:ascii="Times New Roman" w:eastAsia="Times New Roman" w:hAnsi="Times New Roman" w:cs="Times New Roman"/>
          <w:sz w:val="24"/>
          <w:szCs w:val="24"/>
        </w:rPr>
        <w:t>Simulation outputs included a per-fragment damage summary file (</w:t>
      </w:r>
      <w:r w:rsidRPr="00F5332F">
        <w:rPr>
          <w:rFonts w:ascii="Courier New" w:eastAsia="Times New Roman" w:hAnsi="Courier New" w:cs="Courier New"/>
          <w:sz w:val="20"/>
          <w:szCs w:val="20"/>
        </w:rPr>
        <w:t>dna_fragment_damage_summary.csv</w:t>
      </w:r>
      <w:r w:rsidRPr="00F5332F">
        <w:rPr>
          <w:rFonts w:ascii="Times New Roman" w:eastAsia="Times New Roman" w:hAnsi="Times New Roman" w:cs="Times New Roman"/>
          <w:sz w:val="24"/>
          <w:szCs w:val="24"/>
        </w:rPr>
        <w:t>) containing the number of base damages, SSBs, DSBs, hydrogen bonds disrupted, total hydrogen bonds, helical stability, and structural distortion. In addition, summary statistics (mean values per fragment) and representative distributions were generated, including histograms of base damage, strand breaks, hydrogen bond loss, and helix distortion. While this model captures essential spatial and probabilistic features of clustered damage, several biological complexities were simplified or excluded, including radical-mediated indirect effects, base-sequence–specific cross sections, nucleosome-level chromatin geometry, and DNA repair kinetics.</w:t>
      </w:r>
      <w:r w:rsidR="00BF49C8">
        <w:rPr>
          <w:rFonts w:ascii="Times New Roman" w:hAnsi="Times New Roman" w:cs="Times New Roman"/>
          <w:sz w:val="24"/>
          <w:szCs w:val="24"/>
        </w:rPr>
        <w:t xml:space="preserve"> </w:t>
      </w:r>
    </w:p>
    <w:p w:rsidR="00940004" w:rsidRPr="004216A0" w:rsidRDefault="00940004" w:rsidP="004216A0">
      <w:pPr>
        <w:spacing w:before="100" w:beforeAutospacing="1" w:after="100" w:afterAutospacing="1" w:line="240" w:lineRule="auto"/>
        <w:jc w:val="both"/>
        <w:rPr>
          <w:rFonts w:ascii="Times New Roman" w:hAnsi="Times New Roman" w:cs="Times New Roman"/>
          <w:b/>
          <w:sz w:val="28"/>
          <w:szCs w:val="28"/>
        </w:rPr>
      </w:pPr>
      <w:r w:rsidRPr="004216A0">
        <w:rPr>
          <w:rFonts w:ascii="Times New Roman" w:hAnsi="Times New Roman" w:cs="Times New Roman"/>
          <w:b/>
          <w:sz w:val="28"/>
          <w:szCs w:val="28"/>
        </w:rPr>
        <w:t xml:space="preserve">Protein binding kinetics to damaged DNA. By identify </w:t>
      </w:r>
      <w:proofErr w:type="spellStart"/>
      <w:r w:rsidRPr="004216A0">
        <w:rPr>
          <w:rFonts w:ascii="Times New Roman" w:hAnsi="Times New Roman" w:cs="Times New Roman"/>
          <w:b/>
          <w:sz w:val="28"/>
          <w:szCs w:val="28"/>
        </w:rPr>
        <w:t>misrepair</w:t>
      </w:r>
      <w:proofErr w:type="spellEnd"/>
      <w:r w:rsidRPr="004216A0">
        <w:rPr>
          <w:rFonts w:ascii="Times New Roman" w:hAnsi="Times New Roman" w:cs="Times New Roman"/>
          <w:b/>
          <w:sz w:val="28"/>
          <w:szCs w:val="28"/>
        </w:rPr>
        <w:t>-prone vs. repair-efficient configurations.</w:t>
      </w:r>
    </w:p>
    <w:p w:rsidR="00940004" w:rsidRPr="00940004" w:rsidRDefault="00940004" w:rsidP="004216A0">
      <w:pPr>
        <w:spacing w:before="100" w:beforeAutospacing="1" w:after="100" w:afterAutospacing="1" w:line="276" w:lineRule="auto"/>
        <w:jc w:val="both"/>
        <w:rPr>
          <w:rFonts w:ascii="Times New Roman" w:eastAsia="Times New Roman" w:hAnsi="Times New Roman" w:cs="Times New Roman"/>
          <w:sz w:val="24"/>
          <w:szCs w:val="24"/>
        </w:rPr>
      </w:pPr>
      <w:r w:rsidRPr="00940004">
        <w:rPr>
          <w:rFonts w:ascii="Times New Roman" w:eastAsia="Times New Roman" w:hAnsi="Times New Roman" w:cs="Times New Roman"/>
          <w:sz w:val="24"/>
          <w:szCs w:val="24"/>
        </w:rPr>
        <w:t>To extend the damage model toward biological outcomes, a simplified repair kinetics framework was implemented to simulate protein binding and repair pathway selection at the level of individual DNA fragments. Each fragment’s damage profile, obtained from the damage-summary file (</w:t>
      </w:r>
      <w:r w:rsidRPr="00940004">
        <w:rPr>
          <w:rFonts w:ascii="Courier New" w:eastAsia="Times New Roman" w:hAnsi="Courier New" w:cs="Courier New"/>
          <w:sz w:val="20"/>
          <w:szCs w:val="20"/>
        </w:rPr>
        <w:t>dna_fragment_damage_summary.csv</w:t>
      </w:r>
      <w:r w:rsidRPr="00940004">
        <w:rPr>
          <w:rFonts w:ascii="Times New Roman" w:eastAsia="Times New Roman" w:hAnsi="Times New Roman" w:cs="Times New Roman"/>
          <w:sz w:val="24"/>
          <w:szCs w:val="24"/>
        </w:rPr>
        <w:t xml:space="preserve">), was used as input to a coarse-grained Monte Carlo model of repair. Two pathways were considered: non-homologous end joining (NHEJ), modeled as a fast but error-prone process under conditions of high lesion complexity, and homologous recombination (HR), modeled as a slower but higher-fidelity process conditional on the presence of double-strand breaks (DSBs). For each fragment, 200 stochastic repair trials were performed to generate probabilities of correct repair, </w:t>
      </w:r>
      <w:proofErr w:type="spellStart"/>
      <w:r w:rsidRPr="00940004">
        <w:rPr>
          <w:rFonts w:ascii="Times New Roman" w:eastAsia="Times New Roman" w:hAnsi="Times New Roman" w:cs="Times New Roman"/>
          <w:sz w:val="24"/>
          <w:szCs w:val="24"/>
        </w:rPr>
        <w:t>misrepair</w:t>
      </w:r>
      <w:proofErr w:type="spellEnd"/>
      <w:r w:rsidRPr="00940004">
        <w:rPr>
          <w:rFonts w:ascii="Times New Roman" w:eastAsia="Times New Roman" w:hAnsi="Times New Roman" w:cs="Times New Roman"/>
          <w:sz w:val="24"/>
          <w:szCs w:val="24"/>
        </w:rPr>
        <w:t xml:space="preserve">, and unrepaired outcome, along with an average repair time. Based on these probabilities, fragments were heuristically classified into four categories: repair-efficient, </w:t>
      </w:r>
      <w:proofErr w:type="spellStart"/>
      <w:r w:rsidRPr="00940004">
        <w:rPr>
          <w:rFonts w:ascii="Times New Roman" w:eastAsia="Times New Roman" w:hAnsi="Times New Roman" w:cs="Times New Roman"/>
          <w:sz w:val="24"/>
          <w:szCs w:val="24"/>
        </w:rPr>
        <w:t>misrepair</w:t>
      </w:r>
      <w:proofErr w:type="spellEnd"/>
      <w:r w:rsidRPr="00940004">
        <w:rPr>
          <w:rFonts w:ascii="Times New Roman" w:eastAsia="Times New Roman" w:hAnsi="Times New Roman" w:cs="Times New Roman"/>
          <w:sz w:val="24"/>
          <w:szCs w:val="24"/>
        </w:rPr>
        <w:t>-prone, unrepaired-prone, or intermediate. This framework provided a phenomenological representation of repair kinetics without explicitly simulating molecular species, spatial diffusion, or cell-cycle dependence.</w:t>
      </w:r>
    </w:p>
    <w:p w:rsidR="00940004" w:rsidRPr="00940004" w:rsidRDefault="00940004" w:rsidP="004216A0">
      <w:pPr>
        <w:spacing w:before="100" w:beforeAutospacing="1" w:after="100" w:afterAutospacing="1" w:line="276" w:lineRule="auto"/>
        <w:jc w:val="both"/>
        <w:rPr>
          <w:rFonts w:ascii="Times New Roman" w:eastAsia="Times New Roman" w:hAnsi="Times New Roman" w:cs="Times New Roman"/>
          <w:sz w:val="24"/>
          <w:szCs w:val="24"/>
        </w:rPr>
      </w:pPr>
      <w:r w:rsidRPr="00940004">
        <w:rPr>
          <w:rFonts w:ascii="Times New Roman" w:eastAsia="Times New Roman" w:hAnsi="Times New Roman" w:cs="Times New Roman"/>
          <w:sz w:val="24"/>
          <w:szCs w:val="24"/>
        </w:rPr>
        <w:t xml:space="preserve">The fragment-level repair outcomes were then used to drive a stochastic model of cell fate decisions across a simulated population of 1,000 cells. For each cell, fragment repair outcomes were sampled probabilistically according to the per-fragment repair probabilities. Cell fates were then assigned using tunable exponential functions: the probability of apoptosis increased with the number of unrepaired lesions (β = 0.35), senescence probability increased with the number of </w:t>
      </w:r>
      <w:proofErr w:type="spellStart"/>
      <w:r w:rsidRPr="00940004">
        <w:rPr>
          <w:rFonts w:ascii="Times New Roman" w:eastAsia="Times New Roman" w:hAnsi="Times New Roman" w:cs="Times New Roman"/>
          <w:sz w:val="24"/>
          <w:szCs w:val="24"/>
        </w:rPr>
        <w:t>misrepairs</w:t>
      </w:r>
      <w:proofErr w:type="spellEnd"/>
      <w:r w:rsidRPr="00940004">
        <w:rPr>
          <w:rFonts w:ascii="Times New Roman" w:eastAsia="Times New Roman" w:hAnsi="Times New Roman" w:cs="Times New Roman"/>
          <w:sz w:val="24"/>
          <w:szCs w:val="24"/>
        </w:rPr>
        <w:t xml:space="preserve"> (γ = 0.12), and transformation probability scaled with accumulated </w:t>
      </w:r>
      <w:proofErr w:type="spellStart"/>
      <w:r w:rsidRPr="00940004">
        <w:rPr>
          <w:rFonts w:ascii="Times New Roman" w:eastAsia="Times New Roman" w:hAnsi="Times New Roman" w:cs="Times New Roman"/>
          <w:sz w:val="24"/>
          <w:szCs w:val="24"/>
        </w:rPr>
        <w:t>misrepairs</w:t>
      </w:r>
      <w:proofErr w:type="spellEnd"/>
      <w:r w:rsidRPr="00940004">
        <w:rPr>
          <w:rFonts w:ascii="Times New Roman" w:eastAsia="Times New Roman" w:hAnsi="Times New Roman" w:cs="Times New Roman"/>
          <w:sz w:val="24"/>
          <w:szCs w:val="24"/>
        </w:rPr>
        <w:t xml:space="preserve"> interpreted as mutations (α = 0.06). Surviving cells could therefore undergo apoptosis, senescence, transformation, or survival with unrepaired mutations, depending on their lesion burden and repair fidelity.</w:t>
      </w:r>
    </w:p>
    <w:p w:rsidR="00940004" w:rsidRPr="00940004" w:rsidRDefault="00940004" w:rsidP="004216A0">
      <w:pPr>
        <w:spacing w:before="100" w:beforeAutospacing="1" w:after="100" w:afterAutospacing="1" w:line="276" w:lineRule="auto"/>
        <w:jc w:val="both"/>
        <w:rPr>
          <w:rFonts w:ascii="Times New Roman" w:eastAsia="Times New Roman" w:hAnsi="Times New Roman" w:cs="Times New Roman"/>
          <w:sz w:val="24"/>
          <w:szCs w:val="24"/>
        </w:rPr>
      </w:pPr>
      <w:r w:rsidRPr="00940004">
        <w:rPr>
          <w:rFonts w:ascii="Times New Roman" w:eastAsia="Times New Roman" w:hAnsi="Times New Roman" w:cs="Times New Roman"/>
          <w:sz w:val="24"/>
          <w:szCs w:val="24"/>
        </w:rPr>
        <w:lastRenderedPageBreak/>
        <w:t xml:space="preserve">The simulation produced per-fragment and per-cell results, including CSV outputs of repair probabilities and cell fates, summary tables, and visualization plots. Key outputs included distributions of </w:t>
      </w:r>
      <w:proofErr w:type="spellStart"/>
      <w:r w:rsidRPr="00940004">
        <w:rPr>
          <w:rFonts w:ascii="Times New Roman" w:eastAsia="Times New Roman" w:hAnsi="Times New Roman" w:cs="Times New Roman"/>
          <w:sz w:val="24"/>
          <w:szCs w:val="24"/>
        </w:rPr>
        <w:t>misrepair</w:t>
      </w:r>
      <w:proofErr w:type="spellEnd"/>
      <w:r w:rsidRPr="00940004">
        <w:rPr>
          <w:rFonts w:ascii="Times New Roman" w:eastAsia="Times New Roman" w:hAnsi="Times New Roman" w:cs="Times New Roman"/>
          <w:sz w:val="24"/>
          <w:szCs w:val="24"/>
        </w:rPr>
        <w:t xml:space="preserve"> frequency across fragments, correlations between damage complexity and repair pathway outcomes, cell fate proportions, and histograms of mutation accumulation. While the model captures essential stochastic features of repair and fate decisions, it remains a coarse-grained abstraction. Notably, it does not incorporate explicit molecular players such as Ku70/80, MRN, or RAD51, nor does it distinguish between driver and passenger mutations, model repair pathway crosstalk, or simulate clonal expansion dynamics. Nevertheless, this framework provides a tractable bridge from DNA damage clustering to cell-level fate and mutation risk, supporting multi-scale integration with systems-level models of carcinogenesis.</w:t>
      </w:r>
    </w:p>
    <w:p w:rsidR="00BF49C8" w:rsidRPr="004216A0" w:rsidRDefault="00940004" w:rsidP="004216A0">
      <w:pPr>
        <w:spacing w:before="100" w:beforeAutospacing="1" w:after="100" w:afterAutospacing="1" w:line="240" w:lineRule="auto"/>
        <w:rPr>
          <w:rFonts w:ascii="Times New Roman" w:hAnsi="Times New Roman" w:cs="Times New Roman"/>
          <w:b/>
          <w:sz w:val="28"/>
          <w:szCs w:val="28"/>
        </w:rPr>
      </w:pPr>
      <w:r w:rsidRPr="004216A0">
        <w:rPr>
          <w:rFonts w:ascii="Times New Roman" w:hAnsi="Times New Roman" w:cs="Times New Roman"/>
          <w:b/>
          <w:sz w:val="28"/>
          <w:szCs w:val="28"/>
        </w:rPr>
        <w:t xml:space="preserve">Model cell fate decisions: repair, apoptosis, </w:t>
      </w:r>
      <w:proofErr w:type="spellStart"/>
      <w:r w:rsidRPr="004216A0">
        <w:rPr>
          <w:rFonts w:ascii="Times New Roman" w:hAnsi="Times New Roman" w:cs="Times New Roman"/>
          <w:b/>
          <w:sz w:val="28"/>
          <w:szCs w:val="28"/>
        </w:rPr>
        <w:t>misrepair</w:t>
      </w:r>
      <w:proofErr w:type="spellEnd"/>
      <w:r w:rsidRPr="004216A0">
        <w:rPr>
          <w:rFonts w:ascii="Times New Roman" w:hAnsi="Times New Roman" w:cs="Times New Roman"/>
          <w:b/>
          <w:sz w:val="28"/>
          <w:szCs w:val="28"/>
        </w:rPr>
        <w:t xml:space="preserve"> and mutation accumulation.</w:t>
      </w:r>
    </w:p>
    <w:p w:rsidR="00940004" w:rsidRPr="00940004" w:rsidRDefault="00940004" w:rsidP="004216A0">
      <w:pPr>
        <w:spacing w:before="100" w:beforeAutospacing="1" w:after="100" w:afterAutospacing="1" w:line="276" w:lineRule="auto"/>
        <w:jc w:val="both"/>
        <w:rPr>
          <w:rFonts w:ascii="Times New Roman" w:eastAsia="Times New Roman" w:hAnsi="Times New Roman" w:cs="Times New Roman"/>
          <w:sz w:val="24"/>
          <w:szCs w:val="24"/>
        </w:rPr>
      </w:pPr>
      <w:r w:rsidRPr="00940004">
        <w:rPr>
          <w:rFonts w:ascii="Times New Roman" w:eastAsia="Times New Roman" w:hAnsi="Times New Roman" w:cs="Times New Roman"/>
          <w:sz w:val="24"/>
          <w:szCs w:val="24"/>
        </w:rPr>
        <w:t xml:space="preserve">To link fragment-level repair outcomes to cellular consequences, a stochastic model of cell fate decisions was implemented. The per-fragment repair </w:t>
      </w:r>
      <w:r w:rsidR="006F40D3">
        <w:rPr>
          <w:rFonts w:ascii="Times New Roman" w:eastAsia="Times New Roman" w:hAnsi="Times New Roman" w:cs="Times New Roman"/>
          <w:sz w:val="24"/>
          <w:szCs w:val="24"/>
        </w:rPr>
        <w:t xml:space="preserve">probabilities </w:t>
      </w:r>
      <w:r w:rsidRPr="00940004">
        <w:rPr>
          <w:rFonts w:ascii="Times New Roman" w:eastAsia="Times New Roman" w:hAnsi="Times New Roman" w:cs="Times New Roman"/>
          <w:sz w:val="24"/>
          <w:szCs w:val="24"/>
        </w:rPr>
        <w:t>(</w:t>
      </w:r>
      <w:r w:rsidRPr="00940004">
        <w:rPr>
          <w:rFonts w:ascii="Courier New" w:eastAsia="Times New Roman" w:hAnsi="Courier New" w:cs="Courier New"/>
          <w:sz w:val="20"/>
          <w:szCs w:val="20"/>
        </w:rPr>
        <w:t>dna_repair_kinetics_results.csv</w:t>
      </w:r>
      <w:r w:rsidRPr="00940004">
        <w:rPr>
          <w:rFonts w:ascii="Times New Roman" w:eastAsia="Times New Roman" w:hAnsi="Times New Roman" w:cs="Times New Roman"/>
          <w:sz w:val="24"/>
          <w:szCs w:val="24"/>
        </w:rPr>
        <w:t xml:space="preserve">) served as input for simulating outcomes across a population of 1,000 independent cells. For each simulated cell, the repair outcome of every fragment (correctly repaired, </w:t>
      </w:r>
      <w:proofErr w:type="spellStart"/>
      <w:r w:rsidRPr="00940004">
        <w:rPr>
          <w:rFonts w:ascii="Times New Roman" w:eastAsia="Times New Roman" w:hAnsi="Times New Roman" w:cs="Times New Roman"/>
          <w:sz w:val="24"/>
          <w:szCs w:val="24"/>
        </w:rPr>
        <w:t>misrepaired</w:t>
      </w:r>
      <w:proofErr w:type="spellEnd"/>
      <w:r w:rsidRPr="00940004">
        <w:rPr>
          <w:rFonts w:ascii="Times New Roman" w:eastAsia="Times New Roman" w:hAnsi="Times New Roman" w:cs="Times New Roman"/>
          <w:sz w:val="24"/>
          <w:szCs w:val="24"/>
        </w:rPr>
        <w:t>, or unrepaired) was sampled probabilistically based on its fragment-specific probabilities. The cumulative lesion burden in each cell then informed its fate according to phenomenological, tunable functions.</w:t>
      </w:r>
    </w:p>
    <w:p w:rsidR="00940004" w:rsidRPr="00940004" w:rsidRDefault="00940004" w:rsidP="00653F46">
      <w:pPr>
        <w:spacing w:before="100" w:beforeAutospacing="1" w:after="100" w:afterAutospacing="1" w:line="276" w:lineRule="auto"/>
        <w:jc w:val="both"/>
        <w:rPr>
          <w:rFonts w:ascii="Times New Roman" w:eastAsia="Times New Roman" w:hAnsi="Times New Roman" w:cs="Times New Roman"/>
          <w:sz w:val="24"/>
          <w:szCs w:val="24"/>
        </w:rPr>
      </w:pPr>
      <w:r w:rsidRPr="00940004">
        <w:rPr>
          <w:rFonts w:ascii="Times New Roman" w:eastAsia="Times New Roman" w:hAnsi="Times New Roman" w:cs="Times New Roman"/>
          <w:sz w:val="24"/>
          <w:szCs w:val="24"/>
        </w:rPr>
        <w:t xml:space="preserve">The probability of </w:t>
      </w:r>
      <w:r w:rsidRPr="00653F46">
        <w:rPr>
          <w:rFonts w:ascii="Times New Roman" w:eastAsia="Times New Roman" w:hAnsi="Times New Roman" w:cs="Times New Roman"/>
          <w:bCs/>
          <w:sz w:val="24"/>
          <w:szCs w:val="24"/>
        </w:rPr>
        <w:t>apoptosis</w:t>
      </w:r>
      <w:r w:rsidRPr="00940004">
        <w:rPr>
          <w:rFonts w:ascii="Times New Roman" w:eastAsia="Times New Roman" w:hAnsi="Times New Roman" w:cs="Times New Roman"/>
          <w:sz w:val="24"/>
          <w:szCs w:val="24"/>
        </w:rPr>
        <w:t xml:space="preserve"> increased with the number of unrepaired lesions, described by an exponential function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opop</m:t>
            </m:r>
          </m:sub>
        </m:sSub>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-β</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unrepaired</m:t>
                </m:r>
              </m:sub>
            </m:sSub>
            <m:r>
              <w:rPr>
                <w:rFonts w:ascii="Cambria Math" w:eastAsia="Times New Roman" w:hAnsi="Cambria Math" w:cs="Times New Roman"/>
                <w:sz w:val="24"/>
                <w:szCs w:val="24"/>
              </w:rPr>
              <m:t xml:space="preserve"> </m:t>
            </m:r>
          </m:sup>
        </m:sSup>
      </m:oMath>
      <w:r w:rsidRPr="00940004">
        <w:rPr>
          <w:rFonts w:ascii="Times New Roman" w:eastAsia="Times New Roman" w:hAnsi="Times New Roman" w:cs="Times New Roman"/>
          <w:sz w:val="24"/>
          <w:szCs w:val="24"/>
        </w:rPr>
        <w:t xml:space="preserve"> with </w:t>
      </w:r>
      <m:oMath>
        <m:r>
          <w:rPr>
            <w:rFonts w:ascii="Cambria Math" w:eastAsia="Times New Roman" w:hAnsi="Cambria Math" w:cs="Times New Roman"/>
            <w:sz w:val="24"/>
            <w:szCs w:val="24"/>
          </w:rPr>
          <m:t>β</m:t>
        </m:r>
      </m:oMath>
      <w:r w:rsidRPr="00940004">
        <w:rPr>
          <w:rFonts w:ascii="Times New Roman" w:eastAsia="Times New Roman" w:hAnsi="Times New Roman" w:cs="Times New Roman"/>
          <w:sz w:val="24"/>
          <w:szCs w:val="24"/>
        </w:rPr>
        <w:t xml:space="preserve"> set to 0.35. For cells that avoided apoptosis, the probability of entering </w:t>
      </w:r>
      <w:r w:rsidRPr="0094385C">
        <w:rPr>
          <w:rFonts w:ascii="Times New Roman" w:eastAsia="Times New Roman" w:hAnsi="Times New Roman" w:cs="Times New Roman"/>
          <w:bCs/>
          <w:sz w:val="24"/>
          <w:szCs w:val="24"/>
        </w:rPr>
        <w:t>senescence</w:t>
      </w:r>
      <w:r w:rsidRPr="00940004">
        <w:rPr>
          <w:rFonts w:ascii="Times New Roman" w:eastAsia="Times New Roman" w:hAnsi="Times New Roman" w:cs="Times New Roman"/>
          <w:sz w:val="24"/>
          <w:szCs w:val="24"/>
        </w:rPr>
        <w:t xml:space="preserve"> scaled with the number of </w:t>
      </w:r>
      <w:proofErr w:type="spellStart"/>
      <w:r w:rsidRPr="00940004">
        <w:rPr>
          <w:rFonts w:ascii="Times New Roman" w:eastAsia="Times New Roman" w:hAnsi="Times New Roman" w:cs="Times New Roman"/>
          <w:sz w:val="24"/>
          <w:szCs w:val="24"/>
        </w:rPr>
        <w:t>misrepairs</w:t>
      </w:r>
      <w:proofErr w:type="spellEnd"/>
      <w:r w:rsidRPr="00940004">
        <w:rPr>
          <w:rFonts w:ascii="Times New Roman" w:eastAsia="Times New Roman" w:hAnsi="Times New Roman" w:cs="Times New Roman"/>
          <w:sz w:val="24"/>
          <w:szCs w:val="24"/>
        </w:rPr>
        <w:t xml:space="preserve">, defined </w:t>
      </w:r>
      <w:proofErr w:type="gramStart"/>
      <w:r w:rsidRPr="00940004">
        <w:rPr>
          <w:rFonts w:ascii="Times New Roman" w:eastAsia="Times New Roman" w:hAnsi="Times New Roman" w:cs="Times New Roman"/>
          <w:sz w:val="24"/>
          <w:szCs w:val="24"/>
        </w:rPr>
        <w:t xml:space="preserve">as </w:t>
      </w:r>
      <m:oMath>
        <m:sSub>
          <m:sSubPr>
            <m:ctrlPr>
              <w:rPr>
                <w:rFonts w:ascii="Cambria Math" w:eastAsia="Times New Roman" w:hAnsi="Cambria Math" w:cs="Times New Roman"/>
                <w:i/>
                <w:sz w:val="24"/>
                <w:szCs w:val="24"/>
              </w:rPr>
            </m:ctrlPr>
          </m:sSubPr>
          <m:e>
            <w:proofErr w:type="gramEnd"/>
            <m:r>
              <w:rPr>
                <w:rFonts w:ascii="Cambria Math" w:eastAsia="Times New Roman" w:hAnsi="Cambria Math" w:cs="Times New Roman"/>
                <w:sz w:val="24"/>
                <w:szCs w:val="24"/>
              </w:rPr>
              <m:t>p</m:t>
            </m:r>
          </m:e>
          <m:sub>
            <m:r>
              <w:rPr>
                <w:rFonts w:ascii="Cambria Math" w:eastAsia="Times New Roman" w:hAnsi="Cambria Math" w:cs="Times New Roman"/>
                <w:sz w:val="24"/>
                <w:szCs w:val="24"/>
              </w:rPr>
              <m:t>sen</m:t>
            </m:r>
          </m:sub>
        </m:sSub>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-γ</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misrepair</m:t>
                </m:r>
              </m:sub>
            </m:sSub>
            <m:r>
              <w:rPr>
                <w:rFonts w:ascii="Cambria Math" w:eastAsia="Times New Roman" w:hAnsi="Cambria Math" w:cs="Times New Roman"/>
                <w:sz w:val="24"/>
                <w:szCs w:val="24"/>
              </w:rPr>
              <m:t xml:space="preserve"> </m:t>
            </m:r>
          </m:sup>
        </m:sSup>
      </m:oMath>
      <w:r w:rsidRPr="00940004">
        <w:rPr>
          <w:rFonts w:ascii="Times New Roman" w:eastAsia="Times New Roman" w:hAnsi="Times New Roman" w:cs="Times New Roman"/>
          <w:sz w:val="24"/>
          <w:szCs w:val="24"/>
        </w:rPr>
        <w:t xml:space="preserve">​, with γ = 0.12. Surviving cells were assigned a mutation burden equal to the number of misrepaired fragments. The probability of </w:t>
      </w:r>
      <w:r w:rsidRPr="005C3FFE">
        <w:rPr>
          <w:rFonts w:ascii="Times New Roman" w:eastAsia="Times New Roman" w:hAnsi="Times New Roman" w:cs="Times New Roman"/>
          <w:bCs/>
          <w:sz w:val="24"/>
          <w:szCs w:val="24"/>
        </w:rPr>
        <w:t>malignant transformation</w:t>
      </w:r>
      <w:r w:rsidRPr="00940004">
        <w:rPr>
          <w:rFonts w:ascii="Times New Roman" w:eastAsia="Times New Roman" w:hAnsi="Times New Roman" w:cs="Times New Roman"/>
          <w:sz w:val="24"/>
          <w:szCs w:val="24"/>
        </w:rPr>
        <w:t xml:space="preserve"> increased with this mutation count, modeled </w:t>
      </w:r>
      <w:proofErr w:type="gramStart"/>
      <w:r w:rsidRPr="00940004">
        <w:rPr>
          <w:rFonts w:ascii="Times New Roman" w:eastAsia="Times New Roman" w:hAnsi="Times New Roman" w:cs="Times New Roman"/>
          <w:sz w:val="24"/>
          <w:szCs w:val="24"/>
        </w:rPr>
        <w:t xml:space="preserve">as </w:t>
      </w:r>
      <m:oMath>
        <m:sSub>
          <m:sSubPr>
            <m:ctrlPr>
              <w:rPr>
                <w:rFonts w:ascii="Cambria Math" w:eastAsia="Times New Roman" w:hAnsi="Cambria Math" w:cs="Times New Roman"/>
                <w:i/>
                <w:sz w:val="24"/>
                <w:szCs w:val="24"/>
              </w:rPr>
            </m:ctrlPr>
          </m:sSubPr>
          <m:e>
            <w:proofErr w:type="gramEnd"/>
            <m:r>
              <w:rPr>
                <w:rFonts w:ascii="Cambria Math" w:eastAsia="Times New Roman" w:hAnsi="Cambria Math" w:cs="Times New Roman"/>
                <w:sz w:val="24"/>
                <w:szCs w:val="24"/>
              </w:rPr>
              <m:t>p</m:t>
            </m:r>
          </m:e>
          <m:sub>
            <m:r>
              <w:rPr>
                <w:rFonts w:ascii="Cambria Math" w:eastAsia="Times New Roman" w:hAnsi="Cambria Math" w:cs="Times New Roman"/>
                <w:sz w:val="24"/>
                <w:szCs w:val="24"/>
              </w:rPr>
              <m:t>trans</m:t>
            </m:r>
          </m:sub>
        </m:sSub>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-α</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mut</m:t>
                </m:r>
              </m:sub>
            </m:sSub>
          </m:sup>
        </m:sSup>
      </m:oMath>
      <w:r w:rsidRPr="00940004">
        <w:rPr>
          <w:rFonts w:ascii="Times New Roman" w:eastAsia="Times New Roman" w:hAnsi="Times New Roman" w:cs="Times New Roman"/>
          <w:sz w:val="24"/>
          <w:szCs w:val="24"/>
        </w:rPr>
        <w:t>​, with α = 0.06. Transformation probability was reduced if a cell had already been designated as senescent. Each cell was ultimately classified into one of four fates: apoptotic, senescent, transformed, or surviving with unrepaired mutations.</w:t>
      </w:r>
    </w:p>
    <w:p w:rsidR="00940004" w:rsidRPr="00940004" w:rsidRDefault="00940004" w:rsidP="00653F46">
      <w:pPr>
        <w:spacing w:before="100" w:beforeAutospacing="1" w:after="100" w:afterAutospacing="1" w:line="276" w:lineRule="auto"/>
        <w:jc w:val="both"/>
        <w:rPr>
          <w:rFonts w:ascii="Times New Roman" w:eastAsia="Times New Roman" w:hAnsi="Times New Roman" w:cs="Times New Roman"/>
          <w:sz w:val="24"/>
          <w:szCs w:val="24"/>
        </w:rPr>
      </w:pPr>
      <w:r w:rsidRPr="00940004">
        <w:rPr>
          <w:rFonts w:ascii="Times New Roman" w:eastAsia="Times New Roman" w:hAnsi="Times New Roman" w:cs="Times New Roman"/>
          <w:sz w:val="24"/>
          <w:szCs w:val="24"/>
        </w:rPr>
        <w:t>The model generated a per-cell results file, summary tables, and several visualization outputs, including the distribution of cell fates, histograms of mutation counts across cells, and scatter plots of transformation probability versus mutation burden. This approach provides a tractable population-level perspective on how stochastic repair outcomes propagate into higher-order biological effects.</w:t>
      </w:r>
    </w:p>
    <w:p w:rsidR="00653F46" w:rsidRDefault="00940004" w:rsidP="00653F46">
      <w:pPr>
        <w:spacing w:before="100" w:beforeAutospacing="1" w:after="100" w:afterAutospacing="1" w:line="276" w:lineRule="auto"/>
        <w:jc w:val="both"/>
        <w:rPr>
          <w:rFonts w:ascii="Times New Roman" w:eastAsia="Times New Roman" w:hAnsi="Times New Roman" w:cs="Times New Roman"/>
          <w:sz w:val="24"/>
          <w:szCs w:val="24"/>
        </w:rPr>
      </w:pPr>
      <w:r w:rsidRPr="00940004">
        <w:rPr>
          <w:rFonts w:ascii="Times New Roman" w:eastAsia="Times New Roman" w:hAnsi="Times New Roman" w:cs="Times New Roman"/>
          <w:sz w:val="24"/>
          <w:szCs w:val="24"/>
        </w:rPr>
        <w:t xml:space="preserve">It is important to note that this framework is a </w:t>
      </w:r>
      <w:r w:rsidRPr="005C3FFE">
        <w:rPr>
          <w:rFonts w:ascii="Times New Roman" w:eastAsia="Times New Roman" w:hAnsi="Times New Roman" w:cs="Times New Roman"/>
          <w:bCs/>
          <w:sz w:val="24"/>
          <w:szCs w:val="24"/>
        </w:rPr>
        <w:t>conceptual and coarse-grained model</w:t>
      </w:r>
      <w:r w:rsidRPr="00940004">
        <w:rPr>
          <w:rFonts w:ascii="Times New Roman" w:eastAsia="Times New Roman" w:hAnsi="Times New Roman" w:cs="Times New Roman"/>
          <w:sz w:val="24"/>
          <w:szCs w:val="24"/>
        </w:rPr>
        <w:t xml:space="preserve">, not a detailed systems-biology description. Several simplifications were employed: </w:t>
      </w:r>
      <w:proofErr w:type="spellStart"/>
      <w:r w:rsidRPr="00940004">
        <w:rPr>
          <w:rFonts w:ascii="Times New Roman" w:eastAsia="Times New Roman" w:hAnsi="Times New Roman" w:cs="Times New Roman"/>
          <w:sz w:val="24"/>
          <w:szCs w:val="24"/>
        </w:rPr>
        <w:t>misrepair</w:t>
      </w:r>
      <w:proofErr w:type="spellEnd"/>
      <w:r w:rsidRPr="00940004">
        <w:rPr>
          <w:rFonts w:ascii="Times New Roman" w:eastAsia="Times New Roman" w:hAnsi="Times New Roman" w:cs="Times New Roman"/>
          <w:sz w:val="24"/>
          <w:szCs w:val="24"/>
        </w:rPr>
        <w:t xml:space="preserve"> counts were treated directly as mutations without distinguishing drivers from passengers; repair outcomes were assumed independent across fragments and cells; and apoptosis, senescence, and transformation </w:t>
      </w:r>
      <w:r w:rsidRPr="00940004">
        <w:rPr>
          <w:rFonts w:ascii="Times New Roman" w:eastAsia="Times New Roman" w:hAnsi="Times New Roman" w:cs="Times New Roman"/>
          <w:sz w:val="24"/>
          <w:szCs w:val="24"/>
        </w:rPr>
        <w:lastRenderedPageBreak/>
        <w:t>probabilities were governed by phenomenological exponential functions rather than detailed molecular pathways. Furthermore, the model did not incorporate cell-cycle progression, clonal expansion, or long-term evolutionary dynamics. Nevertheless, by coupling DNA repair kinetics to cell-level outcomes, this framework establishes a mechanistic bridge between microscopic lesion complexity and macroscopic carcinogenesis risk.</w:t>
      </w:r>
    </w:p>
    <w:p w:rsidR="0093122B" w:rsidRPr="004216A0" w:rsidRDefault="0093122B" w:rsidP="004216A0">
      <w:pPr>
        <w:pStyle w:val="BodyText"/>
        <w:spacing w:before="86" w:after="240"/>
        <w:jc w:val="both"/>
        <w:rPr>
          <w:rFonts w:ascii="Times New Roman" w:hAnsi="Times New Roman" w:cs="Times New Roman"/>
          <w:b/>
          <w:sz w:val="28"/>
          <w:szCs w:val="28"/>
        </w:rPr>
      </w:pPr>
      <w:r w:rsidRPr="004216A0">
        <w:rPr>
          <w:rFonts w:ascii="Times New Roman" w:hAnsi="Times New Roman" w:cs="Times New Roman"/>
          <w:b/>
          <w:sz w:val="28"/>
          <w:szCs w:val="28"/>
        </w:rPr>
        <w:t xml:space="preserve">Integrating molecular findings into biologically based dose-response (BBDR) models. By comparing with existing </w:t>
      </w:r>
      <w:r w:rsidR="004216A0">
        <w:rPr>
          <w:rFonts w:ascii="Times New Roman" w:hAnsi="Times New Roman" w:cs="Times New Roman"/>
          <w:b/>
          <w:sz w:val="28"/>
          <w:szCs w:val="28"/>
        </w:rPr>
        <w:t>epidemiological radon risk data</w:t>
      </w:r>
    </w:p>
    <w:p w:rsidR="0093122B" w:rsidRDefault="0093122B" w:rsidP="004216A0">
      <w:pPr>
        <w:pStyle w:val="NormalWeb"/>
        <w:spacing w:before="0" w:beforeAutospacing="0" w:line="276" w:lineRule="auto"/>
        <w:jc w:val="both"/>
      </w:pPr>
      <w:r>
        <w:t xml:space="preserve">We embed the mechanistic cell-level outputs you already generated </w:t>
      </w:r>
      <w:r w:rsidR="00281633">
        <w:t xml:space="preserve">(alpha-track ionization clouds to base damage, SSB, DSB to </w:t>
      </w:r>
      <w:r>
        <w:t>per-</w:t>
      </w:r>
      <w:r w:rsidR="00281633">
        <w:t xml:space="preserve">fragment repair probabilities to </w:t>
      </w:r>
      <w:r>
        <w:t xml:space="preserve">cell fate &amp; </w:t>
      </w:r>
      <w:proofErr w:type="spellStart"/>
      <w:r>
        <w:t>misrepair</w:t>
      </w:r>
      <w:proofErr w:type="spellEnd"/>
      <w:r>
        <w:t xml:space="preserve"> counts) into a biologically-based dose–response (BBDR) pipeline that produces population-level lung cancer risk metrics comparable with pooled epidemiology (e.g., Darby et al.), BEIR, ICRP, WHO and EPA guidance. At the left end of the pipeline an environmental radon concentration </w:t>
      </w:r>
      <w:r w:rsidR="00281633">
        <w:rPr>
          <w:rStyle w:val="katex-mathml"/>
        </w:rPr>
        <w:t>C</w:t>
      </w:r>
      <w:r>
        <w:t xml:space="preserve"> (Bq·m</w:t>
      </w:r>
      <w:r w:rsidR="00281633" w:rsidRPr="00281633">
        <w:rPr>
          <w:vertAlign w:val="superscript"/>
        </w:rPr>
        <w:t>-</w:t>
      </w:r>
      <w:r w:rsidR="00281633">
        <w:rPr>
          <w:rStyle w:val="katex-mathml"/>
          <w:vertAlign w:val="superscript"/>
        </w:rPr>
        <w:t>3</w:t>
      </w:r>
      <w:r>
        <w:t xml:space="preserve">) is converted to an alpha-track </w:t>
      </w:r>
      <w:r w:rsidR="00281633">
        <w:t>in</w:t>
      </w:r>
      <w:r>
        <w:t xml:space="preserve">fluence or track rate hitting target epithelial nuclei, </w:t>
      </w:r>
      <w:r w:rsidR="00281633">
        <w:rPr>
          <w:rStyle w:val="katex-mathml"/>
        </w:rPr>
        <w:t> </w:t>
      </w:r>
      <m:oMath>
        <m:r>
          <w:rPr>
            <w:rStyle w:val="mord"/>
            <w:rFonts w:ascii="Cambria Math" w:eastAsia="Arial MT" w:hAnsi="Cambria Math"/>
          </w:rPr>
          <m:t>h</m:t>
        </m:r>
        <m:r>
          <w:rPr>
            <w:rStyle w:val="mopen"/>
            <w:rFonts w:ascii="Cambria Math" w:hAnsi="Cambria Math"/>
          </w:rPr>
          <m:t>(</m:t>
        </m:r>
        <m:r>
          <w:rPr>
            <w:rStyle w:val="mord"/>
            <w:rFonts w:ascii="Cambria Math" w:eastAsia="Arial MT" w:hAnsi="Cambria Math"/>
          </w:rPr>
          <m:t>C</m:t>
        </m:r>
        <m:r>
          <w:rPr>
            <w:rStyle w:val="mclose"/>
            <w:rFonts w:ascii="Cambria Math" w:hAnsi="Cambria Math"/>
          </w:rPr>
          <m:t>)</m:t>
        </m:r>
      </m:oMath>
      <w:r>
        <w:t xml:space="preserve"> (tracks·nucleus</w:t>
      </w:r>
      <w:r w:rsidR="00281633" w:rsidRPr="00281633">
        <w:rPr>
          <w:rStyle w:val="katex-mathml"/>
          <w:vertAlign w:val="superscript"/>
        </w:rPr>
        <w:t>−1</w:t>
      </w:r>
      <w:r w:rsidR="00861783">
        <w:rPr>
          <w:rStyle w:val="katex-mathml"/>
          <w:vertAlign w:val="superscript"/>
        </w:rPr>
        <w:t xml:space="preserve"> </w:t>
      </w:r>
      <w:r w:rsidR="00861783">
        <w:rPr>
          <w:rStyle w:val="katex-mathml"/>
        </w:rPr>
        <w:t>year</w:t>
      </w:r>
      <w:r w:rsidR="00861783">
        <w:rPr>
          <w:rStyle w:val="katex-mathml"/>
          <w:vertAlign w:val="superscript"/>
        </w:rPr>
        <w:t>-1</w:t>
      </w:r>
      <w:r>
        <w:t>), using accepted micro</w:t>
      </w:r>
      <w:r w:rsidR="00281633">
        <w:t>-dosimetry</w:t>
      </w:r>
      <w:r>
        <w:t xml:space="preserve"> or ICRP conversion factors. That track rate rescales your Monte-Carlo micro</w:t>
      </w:r>
      <w:r w:rsidR="00281633">
        <w:t xml:space="preserve"> </w:t>
      </w:r>
      <w:r>
        <w:t xml:space="preserve">dosimetry outputs: if your simulation used </w:t>
      </w:r>
      <m:oMath>
        <m:sSub>
          <m:sSubPr>
            <m:ctrlPr>
              <w:rPr>
                <w:rStyle w:val="katex-mathml"/>
                <w:rFonts w:ascii="Cambria Math" w:hAnsi="Cambria Math"/>
                <w:i/>
                <w:vertAlign w:val="subscript"/>
              </w:rPr>
            </m:ctrlPr>
          </m:sSubPr>
          <m:e>
            <m:r>
              <w:rPr>
                <w:rStyle w:val="katex-mathml"/>
                <w:rFonts w:ascii="Cambria Math" w:hAnsi="Cambria Math"/>
                <w:vertAlign w:val="subscript"/>
              </w:rPr>
              <m:t>H</m:t>
            </m:r>
          </m:e>
          <m:sub>
            <m:r>
              <w:rPr>
                <w:rStyle w:val="katex-mathml"/>
                <w:rFonts w:ascii="Cambria Math" w:hAnsi="Cambria Math"/>
                <w:vertAlign w:val="subscript"/>
              </w:rPr>
              <m:t>0</m:t>
            </m:r>
          </m:sub>
        </m:sSub>
      </m:oMath>
      <w:r w:rsidR="00281633">
        <w:rPr>
          <w:rStyle w:val="katex-mathml"/>
          <w:vertAlign w:val="subscript"/>
        </w:rPr>
        <w:t xml:space="preserve"> </w:t>
      </w:r>
      <w:r>
        <w:t xml:space="preserve">tracks and produced an average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sim</m:t>
            </m:r>
          </m:sub>
        </m:sSub>
      </m:oMath>
      <w:r>
        <w:rPr>
          <w:rStyle w:val="vlist-s"/>
        </w:rPr>
        <w:t>​</w:t>
      </w:r>
      <w:r>
        <w:t xml:space="preserve"> </w:t>
      </w:r>
      <w:proofErr w:type="spellStart"/>
      <w:r>
        <w:t>misrepairs</w:t>
      </w:r>
      <w:proofErr w:type="spellEnd"/>
      <w:r>
        <w:t xml:space="preserve"> per nucleus, then the expected </w:t>
      </w:r>
      <w:proofErr w:type="spellStart"/>
      <w:r>
        <w:t>misrepair</w:t>
      </w:r>
      <w:proofErr w:type="spellEnd"/>
      <w:r>
        <w:t xml:space="preserve"> per nucleus at </w:t>
      </w:r>
      <m:oMath>
        <m:r>
          <w:rPr>
            <w:rStyle w:val="katex-mathml"/>
            <w:rFonts w:ascii="Cambria Math" w:hAnsi="Cambria Math"/>
          </w:rPr>
          <m:t>C</m:t>
        </m:r>
      </m:oMath>
      <w:r>
        <w:t xml:space="preserve"> is approximated by </w:t>
      </w:r>
      <m:oMath>
        <m:acc>
          <m:accPr>
            <m:chr m:val="̅"/>
            <m:ctrlPr>
              <w:rPr>
                <w:rStyle w:val="katex-mathml"/>
                <w:rFonts w:ascii="Cambria Math" w:hAnsi="Cambria Math"/>
                <w:i/>
              </w:rPr>
            </m:ctrlPr>
          </m:accPr>
          <m:e>
            <m:r>
              <w:rPr>
                <w:rStyle w:val="katex-mathml"/>
                <w:rFonts w:ascii="Cambria Math" w:hAnsi="Cambria Math"/>
              </w:rPr>
              <m:t>m</m:t>
            </m:r>
          </m:e>
        </m:acc>
        <m:r>
          <w:rPr>
            <w:rStyle w:val="katex-mathml"/>
            <w:rFonts w:ascii="Cambria Math" w:hAnsi="Cambria Math"/>
          </w:rPr>
          <m:t>(C)</m:t>
        </m:r>
      </m:oMath>
      <w:r>
        <w:rPr>
          <w:rStyle w:val="katex-mathml"/>
        </w:rPr>
        <w:t>≈</w:t>
      </w:r>
      <w:r w:rsidR="00861783">
        <w:rPr>
          <w:rStyle w:val="katex-mathml"/>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sim</m:t>
            </m:r>
          </m:sub>
        </m:sSub>
      </m:oMath>
      <w:r w:rsidR="00861783">
        <w:rPr>
          <w:rStyle w:val="vlist-s"/>
        </w:rPr>
        <w:t>​</w:t>
      </w:r>
      <w:r>
        <w:rPr>
          <w:rStyle w:val="katex-mathml"/>
        </w:rPr>
        <w:t>×</w:t>
      </w:r>
      <m:oMath>
        <m:f>
          <m:fPr>
            <m:type m:val="skw"/>
            <m:ctrlPr>
              <w:rPr>
                <w:rStyle w:val="katex-mathml"/>
                <w:rFonts w:ascii="Cambria Math" w:hAnsi="Cambria Math"/>
                <w:i/>
              </w:rPr>
            </m:ctrlPr>
          </m:fPr>
          <m:num>
            <m:r>
              <w:rPr>
                <w:rStyle w:val="katex-mathml"/>
                <w:rFonts w:ascii="Cambria Math" w:hAnsi="Cambria Math"/>
              </w:rPr>
              <m:t xml:space="preserve"> h(C)</m:t>
            </m:r>
          </m:num>
          <m:den>
            <m:sSub>
              <m:sSubPr>
                <m:ctrlPr>
                  <w:rPr>
                    <w:rStyle w:val="katex-mathml"/>
                    <w:rFonts w:ascii="Cambria Math" w:hAnsi="Cambria Math"/>
                    <w:i/>
                    <w:vertAlign w:val="subscript"/>
                  </w:rPr>
                </m:ctrlPr>
              </m:sSubPr>
              <m:e>
                <m:r>
                  <w:rPr>
                    <w:rStyle w:val="katex-mathml"/>
                    <w:rFonts w:ascii="Cambria Math" w:hAnsi="Cambria Math"/>
                    <w:vertAlign w:val="subscript"/>
                  </w:rPr>
                  <m:t>H</m:t>
                </m:r>
              </m:e>
              <m:sub>
                <m:r>
                  <w:rPr>
                    <w:rStyle w:val="katex-mathml"/>
                    <w:rFonts w:ascii="Cambria Math" w:hAnsi="Cambria Math"/>
                    <w:vertAlign w:val="subscript"/>
                  </w:rPr>
                  <m:t>0</m:t>
                </m:r>
              </m:sub>
            </m:sSub>
          </m:den>
        </m:f>
      </m:oMath>
      <w:r>
        <w:rPr>
          <w:rStyle w:val="vlist-s"/>
        </w:rPr>
        <w:t>​</w:t>
      </w:r>
      <w:r>
        <w:t xml:space="preserve"> (with the caveat that nonlinear cluster effects require re-running the MC at </w:t>
      </w:r>
      <w:r w:rsidR="00861783">
        <w:t>higher</w:t>
      </w:r>
      <m:oMath>
        <m:r>
          <w:rPr>
            <w:rFonts w:ascii="Cambria Math" w:hAnsi="Cambria Math"/>
          </w:rPr>
          <m:t xml:space="preserve"> </m:t>
        </m:r>
        <m:r>
          <w:rPr>
            <w:rStyle w:val="katex-mathml"/>
            <w:rFonts w:ascii="Cambria Math" w:hAnsi="Cambria Math"/>
          </w:rPr>
          <m:t>h(C)</m:t>
        </m:r>
      </m:oMath>
      <w:r>
        <w:t xml:space="preserve">). Next, misrepairs are mapped to an initiation (or transformation) rate per target cell, </w:t>
      </w:r>
      <m:oMath>
        <m:sSub>
          <m:sSubPr>
            <m:ctrlPr>
              <w:rPr>
                <w:rStyle w:val="katex-mathml"/>
                <w:rFonts w:ascii="Cambria Math" w:hAnsi="Cambria Math"/>
                <w:i/>
              </w:rPr>
            </m:ctrlPr>
          </m:sSubPr>
          <m:e>
            <m:r>
              <w:rPr>
                <w:rStyle w:val="katex-mathml"/>
                <w:rFonts w:ascii="Cambria Math" w:hAnsi="Cambria Math"/>
              </w:rPr>
              <m:t>λ</m:t>
            </m:r>
          </m:e>
          <m:sub>
            <m:r>
              <w:rPr>
                <w:rStyle w:val="katex-mathml"/>
                <w:rFonts w:ascii="Cambria Math" w:hAnsi="Cambria Math"/>
                <w:vertAlign w:val="subscript"/>
              </w:rPr>
              <m:t>init</m:t>
            </m:r>
          </m:sub>
        </m:sSub>
        <m:d>
          <m:dPr>
            <m:ctrlPr>
              <w:rPr>
                <w:rStyle w:val="katex-mathml"/>
                <w:rFonts w:ascii="Cambria Math" w:hAnsi="Cambria Math"/>
                <w:i/>
              </w:rPr>
            </m:ctrlPr>
          </m:dPr>
          <m:e>
            <m:r>
              <w:rPr>
                <w:rStyle w:val="katex-mathml"/>
                <w:rFonts w:ascii="Cambria Math" w:hAnsi="Cambria Math"/>
              </w:rPr>
              <m:t>C</m:t>
            </m:r>
          </m:e>
        </m:d>
        <m:r>
          <w:rPr>
            <w:rStyle w:val="katex-mathml"/>
            <w:rFonts w:ascii="Cambria Math" w:hAnsi="Cambria Math"/>
          </w:rPr>
          <m:t xml:space="preserve">, by </m:t>
        </m:r>
        <m:sSub>
          <m:sSubPr>
            <m:ctrlPr>
              <w:rPr>
                <w:rStyle w:val="katex-mathml"/>
                <w:rFonts w:ascii="Cambria Math" w:hAnsi="Cambria Math"/>
                <w:i/>
              </w:rPr>
            </m:ctrlPr>
          </m:sSubPr>
          <m:e>
            <m:r>
              <w:rPr>
                <w:rStyle w:val="katex-mathml"/>
                <w:rFonts w:ascii="Cambria Math" w:hAnsi="Cambria Math"/>
              </w:rPr>
              <m:t>λ</m:t>
            </m:r>
          </m:e>
          <m:sub>
            <m:r>
              <w:rPr>
                <w:rStyle w:val="katex-mathml"/>
                <w:rFonts w:ascii="Cambria Math" w:hAnsi="Cambria Math"/>
                <w:vertAlign w:val="subscript"/>
              </w:rPr>
              <m:t>init</m:t>
            </m:r>
          </m:sub>
        </m:sSub>
        <m:d>
          <m:dPr>
            <m:ctrlPr>
              <w:rPr>
                <w:rStyle w:val="katex-mathml"/>
                <w:rFonts w:ascii="Cambria Math" w:hAnsi="Cambria Math"/>
                <w:i/>
              </w:rPr>
            </m:ctrlPr>
          </m:dPr>
          <m:e>
            <m:r>
              <w:rPr>
                <w:rStyle w:val="katex-mathml"/>
                <w:rFonts w:ascii="Cambria Math" w:hAnsi="Cambria Math"/>
              </w:rPr>
              <m:t>C</m:t>
            </m:r>
          </m:e>
        </m:d>
        <m:r>
          <w:rPr>
            <w:rStyle w:val="katex-mathml"/>
            <w:rFonts w:ascii="Cambria Math" w:hAnsi="Cambria Math"/>
          </w:rPr>
          <m:t>=k</m:t>
        </m:r>
        <m:sSub>
          <m:sSubPr>
            <m:ctrlPr>
              <w:rPr>
                <w:rStyle w:val="katex-mathml"/>
                <w:rFonts w:ascii="Cambria Math" w:hAnsi="Cambria Math"/>
                <w:i/>
              </w:rPr>
            </m:ctrlPr>
          </m:sSubPr>
          <m:e>
            <m:r>
              <w:rPr>
                <w:rStyle w:val="katex-mathml"/>
                <w:rFonts w:ascii="Cambria Math" w:hAnsi="Cambria Math"/>
              </w:rPr>
              <m:t>f</m:t>
            </m:r>
          </m:e>
          <m:sub>
            <m:r>
              <w:rPr>
                <w:rStyle w:val="katex-mathml"/>
                <w:rFonts w:ascii="Cambria Math" w:hAnsi="Cambria Math"/>
              </w:rPr>
              <m:t>driver</m:t>
            </m:r>
          </m:sub>
        </m:sSub>
        <m:acc>
          <m:accPr>
            <m:chr m:val="̅"/>
            <m:ctrlPr>
              <w:rPr>
                <w:rStyle w:val="katex-mathml"/>
                <w:rFonts w:ascii="Cambria Math" w:hAnsi="Cambria Math"/>
                <w:i/>
              </w:rPr>
            </m:ctrlPr>
          </m:accPr>
          <m:e>
            <m:r>
              <w:rPr>
                <w:rStyle w:val="katex-mathml"/>
                <w:rFonts w:ascii="Cambria Math" w:hAnsi="Cambria Math"/>
              </w:rPr>
              <m:t>m</m:t>
            </m:r>
          </m:e>
        </m:acc>
        <m:d>
          <m:dPr>
            <m:ctrlPr>
              <w:rPr>
                <w:rStyle w:val="katex-mathml"/>
                <w:rFonts w:ascii="Cambria Math" w:hAnsi="Cambria Math"/>
                <w:i/>
              </w:rPr>
            </m:ctrlPr>
          </m:dPr>
          <m:e>
            <m:r>
              <w:rPr>
                <w:rStyle w:val="katex-mathml"/>
                <w:rFonts w:ascii="Cambria Math" w:hAnsi="Cambria Math"/>
              </w:rPr>
              <m:t>C</m:t>
            </m:r>
          </m:e>
        </m:d>
        <m:r>
          <w:rPr>
            <w:rStyle w:val="katex-mathml"/>
            <w:rFonts w:ascii="Cambria Math" w:hAnsi="Cambria Math"/>
          </w:rPr>
          <m:t>,</m:t>
        </m:r>
      </m:oMath>
      <w:r>
        <w:t xml:space="preserve"> where </w:t>
      </w:r>
      <m:oMath>
        <m:sSub>
          <m:sSubPr>
            <m:ctrlPr>
              <w:rPr>
                <w:rStyle w:val="katex-mathml"/>
                <w:rFonts w:ascii="Cambria Math" w:hAnsi="Cambria Math"/>
                <w:i/>
              </w:rPr>
            </m:ctrlPr>
          </m:sSubPr>
          <m:e>
            <m:r>
              <w:rPr>
                <w:rStyle w:val="katex-mathml"/>
                <w:rFonts w:ascii="Cambria Math" w:hAnsi="Cambria Math"/>
              </w:rPr>
              <m:t>f</m:t>
            </m:r>
          </m:e>
          <m:sub>
            <m:r>
              <w:rPr>
                <w:rStyle w:val="katex-mathml"/>
                <w:rFonts w:ascii="Cambria Math" w:hAnsi="Cambria Math"/>
              </w:rPr>
              <m:t>driver</m:t>
            </m:r>
          </m:sub>
        </m:sSub>
      </m:oMath>
      <w:r w:rsidR="00B957B2">
        <w:rPr>
          <w:rStyle w:val="vlist-s"/>
        </w:rPr>
        <w:t xml:space="preserve"> </w:t>
      </w:r>
      <w:r>
        <w:rPr>
          <w:rStyle w:val="vlist-s"/>
        </w:rPr>
        <w:t>​</w:t>
      </w:r>
      <w:r>
        <w:t xml:space="preserve"> is the (uncertain) fraction of </w:t>
      </w:r>
      <w:proofErr w:type="spellStart"/>
      <w:r>
        <w:t>misrepairs</w:t>
      </w:r>
      <w:proofErr w:type="spellEnd"/>
      <w:r>
        <w:t xml:space="preserve"> that generate putative driver events and </w:t>
      </w:r>
      <m:oMath>
        <m:r>
          <w:rPr>
            <w:rStyle w:val="mord"/>
            <w:rFonts w:ascii="Cambria Math" w:eastAsia="Arial MT" w:hAnsi="Cambria Math"/>
          </w:rPr>
          <m:t>κ</m:t>
        </m:r>
      </m:oMath>
      <w:r>
        <w:t xml:space="preserve"> converts driver events into effective initiations (accounting for target cell identity and whether one hit suffices). This initiation input is placed into a tissu</w:t>
      </w:r>
      <w:r w:rsidR="000D135D">
        <w:t xml:space="preserve">e-level carcinogenesis module </w:t>
      </w:r>
      <w:r>
        <w:t>e.g., a two-stage clonal expa</w:t>
      </w:r>
      <w:r w:rsidR="00C85A09">
        <w:t xml:space="preserve">nsion (TSCE) or MVK framework </w:t>
      </w:r>
      <w:r>
        <w:t xml:space="preserve">to compute incidence </w:t>
      </w:r>
      <m:oMath>
        <m:r>
          <w:rPr>
            <w:rStyle w:val="mord"/>
            <w:rFonts w:ascii="Cambria Math" w:eastAsia="Arial MT" w:hAnsi="Cambria Math"/>
          </w:rPr>
          <m:t>I</m:t>
        </m:r>
        <m:r>
          <w:rPr>
            <w:rStyle w:val="mopen"/>
            <w:rFonts w:ascii="Cambria Math" w:hAnsi="Cambria Math"/>
          </w:rPr>
          <m:t>(</m:t>
        </m:r>
        <m:r>
          <w:rPr>
            <w:rStyle w:val="mord"/>
            <w:rFonts w:ascii="Cambria Math" w:eastAsia="Arial MT" w:hAnsi="Cambria Math"/>
          </w:rPr>
          <m:t>C</m:t>
        </m:r>
        <m:r>
          <w:rPr>
            <w:rStyle w:val="mpunct"/>
            <w:rFonts w:ascii="Cambria Math" w:hAnsi="Cambria Math"/>
          </w:rPr>
          <m:t>,</m:t>
        </m:r>
        <m:r>
          <w:rPr>
            <w:rStyle w:val="mord"/>
            <w:rFonts w:ascii="Cambria Math" w:eastAsia="Arial MT" w:hAnsi="Cambria Math"/>
          </w:rPr>
          <m:t>t</m:t>
        </m:r>
        <m:r>
          <w:rPr>
            <w:rStyle w:val="mclose"/>
            <w:rFonts w:ascii="Cambria Math" w:hAnsi="Cambria Math"/>
          </w:rPr>
          <m:t>)</m:t>
        </m:r>
      </m:oMath>
      <w:r>
        <w:t xml:space="preserve"> or lifetime </w:t>
      </w:r>
      <w:r w:rsidR="00653F46">
        <w:t>risk</w:t>
      </w:r>
      <m:oMath>
        <m:r>
          <w:rPr>
            <w:rStyle w:val="katex-mathml"/>
            <w:rFonts w:ascii="Cambria Math" w:hAnsi="Cambria Math"/>
          </w:rPr>
          <m:t>R(C)</m:t>
        </m:r>
      </m:oMath>
      <w:r>
        <w:t>. The model yields an excess relative risk (ERR) per concentration increment, which we compare with epidemiological estimates (for example Darby’s percent increase per 100 Bq·m</w:t>
      </w:r>
      <w:r w:rsidRPr="00C85A09">
        <w:rPr>
          <w:rStyle w:val="katex-mathml"/>
          <w:vertAlign w:val="superscript"/>
        </w:rPr>
        <w:t>−3</w:t>
      </w:r>
      <w:r>
        <w:t>). Th</w:t>
      </w:r>
      <w:r w:rsidR="00C85A09">
        <w:t>e modular architecture means one</w:t>
      </w:r>
      <w:r>
        <w:t xml:space="preserve"> can validate each</w:t>
      </w:r>
      <w:r w:rsidR="00C85A09">
        <w:t xml:space="preserve"> block independently: dosimetry</w:t>
      </w:r>
      <m:oMath>
        <m:r>
          <w:rPr>
            <w:rFonts w:ascii="Cambria Math" w:hAnsi="Cambria Math"/>
          </w:rPr>
          <m:t>(C→</m:t>
        </m:r>
        <m:r>
          <w:rPr>
            <w:rStyle w:val="katex-mathml"/>
            <w:rFonts w:ascii="Cambria Math" w:hAnsi="Cambria Math"/>
          </w:rPr>
          <m:t>h</m:t>
        </m:r>
        <m:r>
          <w:rPr>
            <w:rFonts w:ascii="Cambria Math" w:hAnsi="Cambria Math"/>
          </w:rPr>
          <m:t>)</m:t>
        </m:r>
      </m:oMath>
      <w:r>
        <w:t>, microdosimetry scaling, initiation mapping (</w:t>
      </w:r>
      <m:oMath>
        <m:r>
          <w:rPr>
            <w:rStyle w:val="katex-mathml"/>
            <w:rFonts w:ascii="Cambria Math" w:hAnsi="Cambria Math"/>
          </w:rPr>
          <m:t>k</m:t>
        </m:r>
        <m:sSub>
          <m:sSubPr>
            <m:ctrlPr>
              <w:rPr>
                <w:rStyle w:val="katex-mathml"/>
                <w:rFonts w:ascii="Cambria Math" w:hAnsi="Cambria Math"/>
                <w:i/>
              </w:rPr>
            </m:ctrlPr>
          </m:sSubPr>
          <m:e>
            <m:r>
              <w:rPr>
                <w:rStyle w:val="katex-mathml"/>
                <w:rFonts w:ascii="Cambria Math" w:hAnsi="Cambria Math"/>
              </w:rPr>
              <m:t>,f</m:t>
            </m:r>
          </m:e>
          <m:sub>
            <m:r>
              <w:rPr>
                <w:rStyle w:val="katex-mathml"/>
                <w:rFonts w:ascii="Cambria Math" w:hAnsi="Cambria Math"/>
              </w:rPr>
              <m:t>driver</m:t>
            </m:r>
          </m:sub>
        </m:sSub>
      </m:oMath>
      <w:r>
        <w:rPr>
          <w:rStyle w:val="vlist-s"/>
        </w:rPr>
        <w:t>​</w:t>
      </w:r>
      <w:r>
        <w:t>), and tissue dynamics (TSCE parameter set).</w:t>
      </w:r>
      <w:r w:rsidR="00C85A09">
        <w:t xml:space="preserve"> Key equations for </w:t>
      </w:r>
      <w:r>
        <w:t>outputs slot in (compact)</w:t>
      </w:r>
      <w:r w:rsidR="00C85A09">
        <w:t xml:space="preserve"> are as follows:</w:t>
      </w:r>
    </w:p>
    <w:p w:rsidR="0093122B" w:rsidRDefault="0093122B" w:rsidP="004216A0">
      <w:pPr>
        <w:pStyle w:val="NormalWeb"/>
        <w:numPr>
          <w:ilvl w:val="0"/>
          <w:numId w:val="9"/>
        </w:numPr>
        <w:spacing w:line="276" w:lineRule="auto"/>
        <w:jc w:val="both"/>
      </w:pPr>
      <w:r w:rsidRPr="00653F46">
        <w:rPr>
          <w:rStyle w:val="Strong"/>
          <w:b w:val="0"/>
        </w:rPr>
        <w:t>Dosimetry mapping</w:t>
      </w:r>
      <w:r w:rsidR="00C85A09">
        <w:t xml:space="preserve"> (concentration → tracks): </w:t>
      </w:r>
      <m:oMath>
        <m:r>
          <w:rPr>
            <w:rStyle w:val="katex-mathml"/>
            <w:rFonts w:ascii="Cambria Math" w:hAnsi="Cambria Math"/>
          </w:rPr>
          <m:t>h(C)</m:t>
        </m:r>
      </m:oMath>
      <w:r w:rsidR="00C85A09">
        <w:rPr>
          <w:rStyle w:val="katex-mathml"/>
        </w:rPr>
        <w:t xml:space="preserve">=dosimetry </w:t>
      </w:r>
      <w:r>
        <w:rPr>
          <w:rStyle w:val="katex-mathml"/>
        </w:rPr>
        <w:t>kernel</w:t>
      </w:r>
      <m:oMath>
        <m:r>
          <w:rPr>
            <w:rStyle w:val="katex-mathml"/>
            <w:rFonts w:ascii="Cambria Math" w:hAnsi="Cambria Math"/>
          </w:rPr>
          <m:t>(C)</m:t>
        </m:r>
      </m:oMath>
      <w:r w:rsidR="00001274">
        <w:rPr>
          <w:rStyle w:val="katex-mathml"/>
        </w:rPr>
        <w:t xml:space="preserve"> (</w:t>
      </w:r>
      <w:r w:rsidR="00001274">
        <w:t>tracks·nucleus</w:t>
      </w:r>
      <w:r w:rsidR="00001274" w:rsidRPr="00281633">
        <w:rPr>
          <w:rStyle w:val="katex-mathml"/>
          <w:vertAlign w:val="superscript"/>
        </w:rPr>
        <w:t>−1</w:t>
      </w:r>
      <w:r w:rsidR="00001274">
        <w:rPr>
          <w:rStyle w:val="katex-mathml"/>
          <w:vertAlign w:val="superscript"/>
        </w:rPr>
        <w:t xml:space="preserve"> </w:t>
      </w:r>
      <w:r w:rsidR="00001274">
        <w:rPr>
          <w:rStyle w:val="katex-mathml"/>
        </w:rPr>
        <w:t>year</w:t>
      </w:r>
      <w:r w:rsidR="00001274">
        <w:rPr>
          <w:rStyle w:val="katex-mathml"/>
          <w:vertAlign w:val="superscript"/>
        </w:rPr>
        <w:t>-1</w:t>
      </w:r>
      <w:r w:rsidR="00001274">
        <w:t>). We u</w:t>
      </w:r>
      <w:r>
        <w:t>se</w:t>
      </w:r>
      <w:r w:rsidR="00001274">
        <w:t>d</w:t>
      </w:r>
      <w:r>
        <w:t xml:space="preserve"> ICRP/WHO/EPA dose coefficients or a deposition code to compute this kernel.</w:t>
      </w:r>
    </w:p>
    <w:p w:rsidR="00366DDF" w:rsidRPr="00366DDF" w:rsidRDefault="0093122B" w:rsidP="004216A0">
      <w:pPr>
        <w:pStyle w:val="NormalWeb"/>
        <w:numPr>
          <w:ilvl w:val="0"/>
          <w:numId w:val="9"/>
        </w:numPr>
        <w:spacing w:line="276" w:lineRule="auto"/>
        <w:jc w:val="both"/>
        <w:rPr>
          <w:rStyle w:val="Strong"/>
          <w:b w:val="0"/>
          <w:bCs w:val="0"/>
        </w:rPr>
      </w:pPr>
      <w:r w:rsidRPr="00653F46">
        <w:rPr>
          <w:rStyle w:val="Strong"/>
          <w:b w:val="0"/>
        </w:rPr>
        <w:t>Scale simulated damage</w:t>
      </w:r>
      <w:r w:rsidR="00653F46">
        <w:rPr>
          <w:rStyle w:val="Strong"/>
          <w:b w:val="0"/>
        </w:rPr>
        <w:t xml:space="preserve"> to real exposure is given by </w:t>
      </w:r>
    </w:p>
    <w:p w:rsidR="00366DDF" w:rsidRDefault="0012216D" w:rsidP="00366DDF">
      <w:pPr>
        <w:pStyle w:val="NormalWeb"/>
        <w:spacing w:line="276" w:lineRule="auto"/>
        <w:ind w:left="720"/>
        <w:jc w:val="both"/>
      </w:pPr>
      <m:oMath>
        <m:acc>
          <m:accPr>
            <m:chr m:val="̅"/>
            <m:ctrlPr>
              <w:rPr>
                <w:rStyle w:val="katex-mathml"/>
                <w:rFonts w:ascii="Cambria Math" w:hAnsi="Cambria Math"/>
                <w:i/>
              </w:rPr>
            </m:ctrlPr>
          </m:accPr>
          <m:e>
            <m:r>
              <w:rPr>
                <w:rStyle w:val="katex-mathml"/>
                <w:rFonts w:ascii="Cambria Math" w:hAnsi="Cambria Math"/>
              </w:rPr>
              <m:t>m</m:t>
            </m:r>
          </m:e>
        </m:acc>
        <m:r>
          <w:rPr>
            <w:rStyle w:val="katex-mathml"/>
            <w:rFonts w:ascii="Cambria Math" w:hAnsi="Cambria Math"/>
          </w:rPr>
          <m:t>(C)</m:t>
        </m:r>
      </m:oMath>
      <w:r w:rsidR="00001274">
        <w:rPr>
          <w:rStyle w:val="katex-mathml"/>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sim</m:t>
            </m:r>
          </m:sub>
        </m:sSub>
      </m:oMath>
      <w:r w:rsidR="00001274">
        <w:rPr>
          <w:rStyle w:val="vlist-s"/>
        </w:rPr>
        <w:t>​</w:t>
      </w:r>
      <w:r w:rsidR="00001274">
        <w:rPr>
          <w:rStyle w:val="katex-mathml"/>
        </w:rPr>
        <w:t>×</w:t>
      </w:r>
      <m:oMath>
        <m:f>
          <m:fPr>
            <m:type m:val="skw"/>
            <m:ctrlPr>
              <w:rPr>
                <w:rStyle w:val="katex-mathml"/>
                <w:rFonts w:ascii="Cambria Math" w:hAnsi="Cambria Math"/>
                <w:i/>
              </w:rPr>
            </m:ctrlPr>
          </m:fPr>
          <m:num>
            <m:r>
              <w:rPr>
                <w:rStyle w:val="katex-mathml"/>
                <w:rFonts w:ascii="Cambria Math" w:hAnsi="Cambria Math"/>
              </w:rPr>
              <m:t xml:space="preserve"> h(C)</m:t>
            </m:r>
          </m:num>
          <m:den>
            <m:sSub>
              <m:sSubPr>
                <m:ctrlPr>
                  <w:rPr>
                    <w:rStyle w:val="katex-mathml"/>
                    <w:rFonts w:ascii="Cambria Math" w:hAnsi="Cambria Math"/>
                    <w:i/>
                    <w:vertAlign w:val="subscript"/>
                  </w:rPr>
                </m:ctrlPr>
              </m:sSubPr>
              <m:e>
                <m:r>
                  <w:rPr>
                    <w:rStyle w:val="katex-mathml"/>
                    <w:rFonts w:ascii="Cambria Math" w:hAnsi="Cambria Math"/>
                    <w:vertAlign w:val="subscript"/>
                  </w:rPr>
                  <m:t>H</m:t>
                </m:r>
              </m:e>
              <m:sub>
                <m:r>
                  <w:rPr>
                    <w:rStyle w:val="katex-mathml"/>
                    <w:rFonts w:ascii="Cambria Math" w:hAnsi="Cambria Math"/>
                    <w:vertAlign w:val="subscript"/>
                  </w:rPr>
                  <m:t>0</m:t>
                </m:r>
              </m:sub>
            </m:sSub>
          </m:den>
        </m:f>
      </m:oMath>
      <w:r w:rsidR="00001274">
        <w:rPr>
          <w:rStyle w:val="vlist-s"/>
        </w:rPr>
        <w:t>​</w:t>
      </w:r>
      <w:r w:rsidR="0093122B">
        <w:rPr>
          <w:rStyle w:val="vlist-s"/>
        </w:rPr>
        <w:t>​</w:t>
      </w:r>
      <w:r w:rsidR="0093122B">
        <w:t xml:space="preserve">. </w:t>
      </w:r>
      <w:r w:rsidR="00001274">
        <w:t xml:space="preserve">We recomputed </w:t>
      </w:r>
      <w:r w:rsidR="0093122B">
        <w:t xml:space="preserve">with new </w:t>
      </w:r>
      <m:oMath>
        <m:r>
          <w:rPr>
            <w:rFonts w:ascii="Cambria Math" w:hAnsi="Cambria Math"/>
          </w:rPr>
          <m:t>MC</m:t>
        </m:r>
      </m:oMath>
      <w:r w:rsidR="0093122B">
        <w:t xml:space="preserve"> if cluster overlap becomes non-linear.</w:t>
      </w:r>
    </w:p>
    <w:p w:rsidR="00366DDF" w:rsidRDefault="00366DDF" w:rsidP="00366DDF">
      <w:pPr>
        <w:pStyle w:val="NormalWeb"/>
        <w:spacing w:line="276" w:lineRule="auto"/>
        <w:ind w:left="720"/>
        <w:jc w:val="both"/>
      </w:pPr>
    </w:p>
    <w:p w:rsidR="00366DDF" w:rsidRPr="00366DDF" w:rsidRDefault="0093122B" w:rsidP="004216A0">
      <w:pPr>
        <w:pStyle w:val="NormalWeb"/>
        <w:numPr>
          <w:ilvl w:val="0"/>
          <w:numId w:val="9"/>
        </w:numPr>
        <w:spacing w:line="276" w:lineRule="auto"/>
        <w:jc w:val="both"/>
        <w:rPr>
          <w:rStyle w:val="Strong"/>
          <w:b w:val="0"/>
          <w:bCs w:val="0"/>
        </w:rPr>
      </w:pPr>
      <w:r w:rsidRPr="00653F46">
        <w:rPr>
          <w:rStyle w:val="Strong"/>
          <w:b w:val="0"/>
        </w:rPr>
        <w:lastRenderedPageBreak/>
        <w:t xml:space="preserve">Initiation </w:t>
      </w:r>
      <w:r w:rsidR="00653F46">
        <w:rPr>
          <w:rStyle w:val="Strong"/>
          <w:b w:val="0"/>
        </w:rPr>
        <w:t>rate was</w:t>
      </w:r>
      <w:r w:rsidR="00001274">
        <w:rPr>
          <w:rStyle w:val="Strong"/>
          <w:b w:val="0"/>
        </w:rPr>
        <w:t xml:space="preserve"> used</w:t>
      </w:r>
    </w:p>
    <w:p w:rsidR="0093122B" w:rsidRDefault="0093122B" w:rsidP="00366DDF">
      <w:pPr>
        <w:pStyle w:val="NormalWeb"/>
        <w:spacing w:line="276" w:lineRule="auto"/>
        <w:ind w:left="720"/>
        <w:jc w:val="both"/>
      </w:pPr>
      <w:r>
        <w:t xml:space="preserve"> </w:t>
      </w:r>
      <m:oMath>
        <m:sSub>
          <m:sSubPr>
            <m:ctrlPr>
              <w:rPr>
                <w:rStyle w:val="katex-mathml"/>
                <w:rFonts w:ascii="Cambria Math" w:hAnsi="Cambria Math"/>
                <w:i/>
              </w:rPr>
            </m:ctrlPr>
          </m:sSubPr>
          <m:e>
            <m:r>
              <w:rPr>
                <w:rStyle w:val="katex-mathml"/>
                <w:rFonts w:ascii="Cambria Math" w:hAnsi="Cambria Math"/>
              </w:rPr>
              <m:t>λ</m:t>
            </m:r>
          </m:e>
          <m:sub>
            <m:r>
              <w:rPr>
                <w:rStyle w:val="katex-mathml"/>
                <w:rFonts w:ascii="Cambria Math" w:hAnsi="Cambria Math"/>
                <w:vertAlign w:val="subscript"/>
              </w:rPr>
              <m:t>init</m:t>
            </m:r>
          </m:sub>
        </m:sSub>
        <m:d>
          <m:dPr>
            <m:ctrlPr>
              <w:rPr>
                <w:rStyle w:val="katex-mathml"/>
                <w:rFonts w:ascii="Cambria Math" w:hAnsi="Cambria Math"/>
                <w:i/>
              </w:rPr>
            </m:ctrlPr>
          </m:dPr>
          <m:e>
            <m:r>
              <w:rPr>
                <w:rStyle w:val="katex-mathml"/>
                <w:rFonts w:ascii="Cambria Math" w:hAnsi="Cambria Math"/>
              </w:rPr>
              <m:t>C</m:t>
            </m:r>
          </m:e>
        </m:d>
        <m:r>
          <w:rPr>
            <w:rStyle w:val="katex-mathml"/>
            <w:rFonts w:ascii="Cambria Math" w:hAnsi="Cambria Math"/>
          </w:rPr>
          <m:t>=k</m:t>
        </m:r>
        <m:sSub>
          <m:sSubPr>
            <m:ctrlPr>
              <w:rPr>
                <w:rStyle w:val="katex-mathml"/>
                <w:rFonts w:ascii="Cambria Math" w:hAnsi="Cambria Math"/>
                <w:i/>
              </w:rPr>
            </m:ctrlPr>
          </m:sSubPr>
          <m:e>
            <m:r>
              <w:rPr>
                <w:rStyle w:val="katex-mathml"/>
                <w:rFonts w:ascii="Cambria Math" w:hAnsi="Cambria Math"/>
              </w:rPr>
              <m:t>f</m:t>
            </m:r>
          </m:e>
          <m:sub>
            <m:r>
              <w:rPr>
                <w:rStyle w:val="katex-mathml"/>
                <w:rFonts w:ascii="Cambria Math" w:hAnsi="Cambria Math"/>
              </w:rPr>
              <m:t>driver</m:t>
            </m:r>
          </m:sub>
        </m:sSub>
        <m:acc>
          <m:accPr>
            <m:chr m:val="̅"/>
            <m:ctrlPr>
              <w:rPr>
                <w:rStyle w:val="katex-mathml"/>
                <w:rFonts w:ascii="Cambria Math" w:hAnsi="Cambria Math"/>
                <w:i/>
              </w:rPr>
            </m:ctrlPr>
          </m:accPr>
          <m:e>
            <m:r>
              <w:rPr>
                <w:rStyle w:val="katex-mathml"/>
                <w:rFonts w:ascii="Cambria Math" w:hAnsi="Cambria Math"/>
              </w:rPr>
              <m:t>m</m:t>
            </m:r>
          </m:e>
        </m:acc>
        <m:d>
          <m:dPr>
            <m:ctrlPr>
              <w:rPr>
                <w:rStyle w:val="katex-mathml"/>
                <w:rFonts w:ascii="Cambria Math" w:hAnsi="Cambria Math"/>
                <w:i/>
              </w:rPr>
            </m:ctrlPr>
          </m:dPr>
          <m:e>
            <m:r>
              <w:rPr>
                <w:rStyle w:val="katex-mathml"/>
                <w:rFonts w:ascii="Cambria Math" w:hAnsi="Cambria Math"/>
              </w:rPr>
              <m:t>C</m:t>
            </m:r>
          </m:e>
        </m:d>
        <m:r>
          <w:rPr>
            <w:rStyle w:val="katex-mathml"/>
            <w:rFonts w:ascii="Cambria Math" w:hAnsi="Cambria Math"/>
          </w:rPr>
          <m:t xml:space="preserve">. </m:t>
        </m:r>
      </m:oMath>
      <w:r w:rsidR="00001274">
        <w:rPr>
          <w:rStyle w:val="katex-mathml"/>
        </w:rPr>
        <w:t xml:space="preserve">Treat </w:t>
      </w:r>
      <m:oMath>
        <m:sSub>
          <m:sSubPr>
            <m:ctrlPr>
              <w:rPr>
                <w:rStyle w:val="katex-mathml"/>
                <w:rFonts w:ascii="Cambria Math" w:hAnsi="Cambria Math"/>
                <w:i/>
              </w:rPr>
            </m:ctrlPr>
          </m:sSubPr>
          <m:e>
            <m:r>
              <w:rPr>
                <w:rStyle w:val="katex-mathml"/>
                <w:rFonts w:ascii="Cambria Math" w:hAnsi="Cambria Math"/>
              </w:rPr>
              <m:t>f</m:t>
            </m:r>
          </m:e>
          <m:sub>
            <m:r>
              <w:rPr>
                <w:rStyle w:val="katex-mathml"/>
                <w:rFonts w:ascii="Cambria Math" w:hAnsi="Cambria Math"/>
              </w:rPr>
              <m:t>driver</m:t>
            </m:r>
          </m:sub>
        </m:sSub>
        <m:r>
          <w:rPr>
            <w:rStyle w:val="katex-mathml"/>
            <w:rFonts w:ascii="Cambria Math" w:hAnsi="Cambria Math"/>
          </w:rPr>
          <m:t xml:space="preserve"> </m:t>
        </m:r>
      </m:oMath>
      <w:r w:rsidR="00001274">
        <w:rPr>
          <w:rStyle w:val="katex-mathml"/>
        </w:rPr>
        <w:t xml:space="preserve">and </w:t>
      </w:r>
      <m:oMath>
        <m:r>
          <w:rPr>
            <w:rStyle w:val="katex-mathml"/>
            <w:rFonts w:ascii="Cambria Math" w:hAnsi="Cambria Math"/>
          </w:rPr>
          <m:t>k</m:t>
        </m:r>
      </m:oMath>
      <w:r w:rsidR="00001274">
        <w:t xml:space="preserve"> </w:t>
      </w:r>
      <w:r>
        <w:t>as calibration parameters with priors.</w:t>
      </w:r>
    </w:p>
    <w:p w:rsidR="0093122B" w:rsidRDefault="00653F46" w:rsidP="004216A0">
      <w:pPr>
        <w:pStyle w:val="NormalWeb"/>
        <w:numPr>
          <w:ilvl w:val="0"/>
          <w:numId w:val="9"/>
        </w:numPr>
        <w:spacing w:line="276" w:lineRule="auto"/>
        <w:jc w:val="both"/>
      </w:pPr>
      <w:r>
        <w:rPr>
          <w:rStyle w:val="Strong"/>
          <w:b w:val="0"/>
        </w:rPr>
        <w:t>Plug into TSCE / MSCE</w:t>
      </w:r>
      <w:r w:rsidR="0093122B">
        <w:t xml:space="preserve"> </w:t>
      </w:r>
      <w:r>
        <w:t>were</w:t>
      </w:r>
      <w:r w:rsidR="00001274">
        <w:t xml:space="preserve"> </w:t>
      </w:r>
      <w:r w:rsidR="0093122B">
        <w:t>use</w:t>
      </w:r>
      <w:r w:rsidR="00001274">
        <w:t>d</w:t>
      </w:r>
      <w:r w:rsidR="0093122B">
        <w:t xml:space="preserve"> </w:t>
      </w:r>
      <w:r>
        <w:t xml:space="preserve">as </w:t>
      </w:r>
      <w:r w:rsidR="0093122B">
        <w:t xml:space="preserve">standard TSCE incidence formula </w:t>
      </w:r>
      <m:oMath>
        <m:r>
          <w:rPr>
            <w:rStyle w:val="katex-mathml"/>
            <w:rFonts w:ascii="Cambria Math" w:hAnsi="Cambria Math"/>
          </w:rPr>
          <m:t>I</m:t>
        </m:r>
        <m:d>
          <m:dPr>
            <m:ctrlPr>
              <w:rPr>
                <w:rStyle w:val="katex-mathml"/>
                <w:rFonts w:ascii="Cambria Math" w:hAnsi="Cambria Math"/>
                <w:i/>
              </w:rPr>
            </m:ctrlPr>
          </m:dPr>
          <m:e>
            <m:r>
              <w:rPr>
                <w:rStyle w:val="katex-mathml"/>
                <w:rFonts w:ascii="Cambria Math" w:hAnsi="Cambria Math"/>
              </w:rPr>
              <m:t>t</m:t>
            </m:r>
          </m:e>
        </m:d>
        <m:r>
          <w:rPr>
            <w:rStyle w:val="katex-mathml"/>
            <w:rFonts w:ascii="Cambria Math" w:hAnsi="Cambria Math"/>
          </w:rPr>
          <m:t>=</m:t>
        </m:r>
      </m:oMath>
      <w:r w:rsidR="0093122B">
        <w:t xml:space="preserve"> function</w:t>
      </w:r>
      <w:r w:rsidR="003A227E">
        <w:t xml:space="preserve"> </w:t>
      </w:r>
      <w:r w:rsidR="0093122B">
        <w:rPr>
          <w:rStyle w:val="katex-mathml"/>
        </w:rPr>
        <w:t>(</w:t>
      </w:r>
      <m:oMath>
        <m:sSub>
          <m:sSubPr>
            <m:ctrlPr>
              <w:rPr>
                <w:rStyle w:val="katex-mathml"/>
                <w:rFonts w:ascii="Cambria Math" w:hAnsi="Cambria Math"/>
                <w:i/>
              </w:rPr>
            </m:ctrlPr>
          </m:sSubPr>
          <m:e>
            <m:r>
              <w:rPr>
                <w:rStyle w:val="katex-mathml"/>
                <w:rFonts w:ascii="Cambria Math" w:hAnsi="Cambria Math"/>
              </w:rPr>
              <m:t>λ</m:t>
            </m:r>
          </m:e>
          <m:sub>
            <m:r>
              <w:rPr>
                <w:rStyle w:val="katex-mathml"/>
                <w:rFonts w:ascii="Cambria Math" w:hAnsi="Cambria Math"/>
                <w:vertAlign w:val="subscript"/>
              </w:rPr>
              <m:t>init</m:t>
            </m:r>
          </m:sub>
        </m:sSub>
      </m:oMath>
      <w:r w:rsidR="0093122B">
        <w:rPr>
          <w:rStyle w:val="vlist-s"/>
        </w:rPr>
        <w:t>​</w:t>
      </w:r>
      <w:r w:rsidR="0093122B">
        <w:rPr>
          <w:rStyle w:val="mpunct"/>
        </w:rPr>
        <w:t>,</w:t>
      </w:r>
      <w:r w:rsidR="0093122B">
        <w:t xml:space="preserve"> proliferation/selection parameters</w:t>
      </w:r>
      <w:r w:rsidR="003A227E">
        <w:rPr>
          <w:rStyle w:val="katex-mathml"/>
        </w:rPr>
        <w:t>)</w:t>
      </w:r>
      <w:r w:rsidR="0093122B">
        <w:t xml:space="preserve">. </w:t>
      </w:r>
      <w:r w:rsidR="003A227E">
        <w:t>To c</w:t>
      </w:r>
      <w:r w:rsidR="0093122B">
        <w:t>ompute lifetime risk</w:t>
      </w:r>
      <w:r w:rsidR="00366DDF">
        <w:t xml:space="preserve"> using                           </w:t>
      </w:r>
      <w:r w:rsidR="0093122B">
        <w:t xml:space="preserve"> </w:t>
      </w:r>
      <w:r w:rsidR="00366DDF">
        <w:t xml:space="preserve">   </w:t>
      </w:r>
      <m:oMath>
        <m:d>
          <m:dPr>
            <m:ctrlPr>
              <w:rPr>
                <w:rStyle w:val="katex-mathml"/>
                <w:rFonts w:ascii="Cambria Math" w:hAnsi="Cambria Math"/>
                <w:i/>
              </w:rPr>
            </m:ctrlPr>
          </m:dPr>
          <m:e>
            <m:r>
              <w:rPr>
                <w:rStyle w:val="katex-mathml"/>
                <w:rFonts w:ascii="Cambria Math" w:hAnsi="Cambria Math"/>
              </w:rPr>
              <m:t>C</m:t>
            </m:r>
          </m:e>
        </m:d>
        <m:r>
          <w:rPr>
            <w:rStyle w:val="katex-mathml"/>
            <w:rFonts w:ascii="Cambria Math" w:hAnsi="Cambria Math"/>
          </w:rPr>
          <m:t>=</m:t>
        </m:r>
      </m:oMath>
      <w:r w:rsidR="003A227E">
        <w:rPr>
          <w:rStyle w:val="katex-mathml"/>
        </w:rPr>
        <w:t xml:space="preserve"> </w:t>
      </w:r>
      <m:oMath>
        <m:r>
          <w:rPr>
            <w:rStyle w:val="mop"/>
            <w:rFonts w:ascii="Cambria Math" w:hAnsi="Cambria Math"/>
          </w:rPr>
          <m:t>∫</m:t>
        </m:r>
        <m:r>
          <w:rPr>
            <w:rStyle w:val="mord"/>
            <w:rFonts w:ascii="Cambria Math" w:eastAsia="Arial MT" w:hAnsi="Cambria Math"/>
          </w:rPr>
          <m:t>I</m:t>
        </m:r>
        <m:r>
          <w:rPr>
            <w:rStyle w:val="mopen"/>
            <w:rFonts w:ascii="Cambria Math" w:hAnsi="Cambria Math"/>
          </w:rPr>
          <m:t>(</m:t>
        </m:r>
        <m:r>
          <w:rPr>
            <w:rStyle w:val="mord"/>
            <w:rFonts w:ascii="Cambria Math" w:eastAsia="Arial MT" w:hAnsi="Cambria Math"/>
          </w:rPr>
          <m:t>C</m:t>
        </m:r>
        <m:r>
          <w:rPr>
            <w:rStyle w:val="mpunct"/>
            <w:rFonts w:ascii="Cambria Math" w:hAnsi="Cambria Math"/>
          </w:rPr>
          <m:t>,</m:t>
        </m:r>
        <m:r>
          <w:rPr>
            <w:rStyle w:val="mord"/>
            <w:rFonts w:ascii="Cambria Math" w:eastAsia="Arial MT" w:hAnsi="Cambria Math"/>
          </w:rPr>
          <m:t>t</m:t>
        </m:r>
        <m:r>
          <w:rPr>
            <w:rStyle w:val="mclose"/>
            <w:rFonts w:ascii="Cambria Math" w:hAnsi="Cambria Math"/>
          </w:rPr>
          <m:t>)</m:t>
        </m:r>
        <m:r>
          <w:rPr>
            <w:rStyle w:val="mord"/>
            <w:rFonts w:ascii="Cambria Math" w:eastAsia="Arial MT" w:hAnsi="Cambria Math"/>
          </w:rPr>
          <m:t>dt</m:t>
        </m:r>
      </m:oMath>
      <w:r w:rsidR="0093122B">
        <w:t>.</w:t>
      </w:r>
    </w:p>
    <w:p w:rsidR="004216A0" w:rsidRDefault="0093122B" w:rsidP="004216A0">
      <w:pPr>
        <w:pStyle w:val="NormalWeb"/>
        <w:numPr>
          <w:ilvl w:val="0"/>
          <w:numId w:val="9"/>
        </w:numPr>
        <w:spacing w:line="276" w:lineRule="auto"/>
        <w:jc w:val="both"/>
      </w:pPr>
      <w:r w:rsidRPr="00653F46">
        <w:rPr>
          <w:rStyle w:val="Strong"/>
          <w:b w:val="0"/>
        </w:rPr>
        <w:t>ERR per unit concentration</w:t>
      </w:r>
      <w:proofErr w:type="gramStart"/>
      <w:r w:rsidRPr="00653F46">
        <w:rPr>
          <w:rStyle w:val="Strong"/>
          <w:b w:val="0"/>
        </w:rPr>
        <w:t>:</w:t>
      </w:r>
      <w:r>
        <w:t xml:space="preserve"> </w:t>
      </w:r>
      <w:proofErr w:type="gramEnd"/>
      <m:oMath>
        <m:r>
          <w:rPr>
            <w:rStyle w:val="katex-mathml"/>
            <w:rFonts w:ascii="Cambria Math" w:hAnsi="Cambria Math"/>
          </w:rPr>
          <m:t>ERR</m:t>
        </m:r>
        <m:d>
          <m:dPr>
            <m:ctrlPr>
              <w:rPr>
                <w:rStyle w:val="katex-mathml"/>
                <w:rFonts w:ascii="Cambria Math" w:hAnsi="Cambria Math"/>
                <w:i/>
              </w:rPr>
            </m:ctrlPr>
          </m:dPr>
          <m:e>
            <m:r>
              <w:rPr>
                <w:rStyle w:val="katex-mathml"/>
                <w:rFonts w:ascii="Cambria Math" w:hAnsi="Cambria Math"/>
              </w:rPr>
              <m:t>C</m:t>
            </m:r>
          </m:e>
        </m:d>
        <m:r>
          <w:rPr>
            <w:rStyle w:val="katex-mathml"/>
            <w:rFonts w:ascii="Cambria Math" w:hAnsi="Cambria Math"/>
          </w:rPr>
          <m:t>=</m:t>
        </m:r>
        <m:f>
          <m:fPr>
            <m:ctrlPr>
              <w:rPr>
                <w:rStyle w:val="katex-mathml"/>
                <w:rFonts w:ascii="Cambria Math" w:hAnsi="Cambria Math"/>
                <w:i/>
              </w:rPr>
            </m:ctrlPr>
          </m:fPr>
          <m:num>
            <m:r>
              <m:rPr>
                <m:sty m:val="p"/>
              </m:rPr>
              <w:rPr>
                <w:rStyle w:val="katex-mathml"/>
                <w:rFonts w:ascii="Cambria Math" w:hAnsi="Cambria Math"/>
              </w:rPr>
              <m:t>∫I(C,t) dt-∫</m:t>
            </m:r>
            <m:sSub>
              <m:sSubPr>
                <m:ctrlPr>
                  <w:rPr>
                    <w:rStyle w:val="katex-mathml"/>
                    <w:rFonts w:ascii="Cambria Math" w:hAnsi="Cambria Math"/>
                  </w:rPr>
                </m:ctrlPr>
              </m:sSubPr>
              <m:e>
                <m:r>
                  <w:rPr>
                    <w:rStyle w:val="katex-mathml"/>
                    <w:rFonts w:ascii="Cambria Math" w:hAnsi="Cambria Math"/>
                  </w:rPr>
                  <m:t>I</m:t>
                </m:r>
              </m:e>
              <m:sub>
                <m:r>
                  <w:rPr>
                    <w:rStyle w:val="katex-mathml"/>
                    <w:rFonts w:ascii="Cambria Math" w:hAnsi="Cambria Math"/>
                  </w:rPr>
                  <m:t>o</m:t>
                </m:r>
              </m:sub>
            </m:sSub>
            <m:r>
              <m:rPr>
                <m:sty m:val="p"/>
              </m:rPr>
              <w:rPr>
                <w:rStyle w:val="katex-mathml"/>
                <w:rFonts w:ascii="Cambria Math" w:hAnsi="Cambria Math"/>
              </w:rPr>
              <m:t>(t) dt</m:t>
            </m:r>
          </m:num>
          <m:den>
            <m:r>
              <m:rPr>
                <m:sty m:val="p"/>
              </m:rPr>
              <w:rPr>
                <w:rStyle w:val="katex-mathml"/>
                <w:rFonts w:ascii="Cambria Math" w:hAnsi="Cambria Math"/>
              </w:rPr>
              <m:t>∫</m:t>
            </m:r>
            <m:sSub>
              <m:sSubPr>
                <m:ctrlPr>
                  <w:rPr>
                    <w:rStyle w:val="katex-mathml"/>
                    <w:rFonts w:ascii="Cambria Math" w:hAnsi="Cambria Math"/>
                  </w:rPr>
                </m:ctrlPr>
              </m:sSubPr>
              <m:e>
                <m:r>
                  <w:rPr>
                    <w:rStyle w:val="katex-mathml"/>
                    <w:rFonts w:ascii="Cambria Math" w:hAnsi="Cambria Math"/>
                  </w:rPr>
                  <m:t>I</m:t>
                </m:r>
              </m:e>
              <m:sub>
                <m:r>
                  <w:rPr>
                    <w:rStyle w:val="katex-mathml"/>
                    <w:rFonts w:ascii="Cambria Math" w:hAnsi="Cambria Math"/>
                  </w:rPr>
                  <m:t>o</m:t>
                </m:r>
              </m:sub>
            </m:sSub>
            <m:r>
              <m:rPr>
                <m:sty m:val="p"/>
              </m:rPr>
              <w:rPr>
                <w:rStyle w:val="katex-mathml"/>
                <w:rFonts w:ascii="Cambria Math" w:hAnsi="Cambria Math"/>
              </w:rPr>
              <m:t>(t) dt</m:t>
            </m:r>
          </m:den>
        </m:f>
      </m:oMath>
      <w:r w:rsidR="003A227E">
        <w:rPr>
          <w:rStyle w:val="katex-mathml"/>
        </w:rPr>
        <w:t>.</w:t>
      </w:r>
      <w:r>
        <w:t xml:space="preserve"> For small changes a linear approximation relates </w:t>
      </w:r>
      <w:r>
        <w:rPr>
          <w:rStyle w:val="katex-mathml"/>
        </w:rPr>
        <w:t>Δ</w:t>
      </w:r>
      <m:oMath>
        <m:sSub>
          <m:sSubPr>
            <m:ctrlPr>
              <w:rPr>
                <w:rStyle w:val="katex-mathml"/>
                <w:rFonts w:ascii="Cambria Math" w:hAnsi="Cambria Math"/>
                <w:i/>
              </w:rPr>
            </m:ctrlPr>
          </m:sSubPr>
          <m:e>
            <m:r>
              <w:rPr>
                <w:rStyle w:val="katex-mathml"/>
                <w:rFonts w:ascii="Cambria Math" w:hAnsi="Cambria Math"/>
              </w:rPr>
              <m:t>λ</m:t>
            </m:r>
          </m:e>
          <m:sub>
            <m:r>
              <w:rPr>
                <w:rStyle w:val="katex-mathml"/>
                <w:rFonts w:ascii="Cambria Math" w:hAnsi="Cambria Math"/>
                <w:vertAlign w:val="subscript"/>
              </w:rPr>
              <m:t>init</m:t>
            </m:r>
          </m:sub>
        </m:sSub>
      </m:oMath>
      <w:r>
        <w:rPr>
          <w:rStyle w:val="vlist-s"/>
        </w:rPr>
        <w:t>​</w:t>
      </w:r>
      <w:r>
        <w:t xml:space="preserve"> to ERR with a scaling factor </w:t>
      </w:r>
      <m:oMath>
        <m:sSub>
          <m:sSubPr>
            <m:ctrlPr>
              <w:rPr>
                <w:rFonts w:ascii="Cambria Math" w:hAnsi="Cambria Math"/>
                <w:i/>
              </w:rPr>
            </m:ctrlPr>
          </m:sSubPr>
          <m:e>
            <m:r>
              <w:rPr>
                <w:rStyle w:val="katex-mathml"/>
                <w:rFonts w:ascii="Cambria Math" w:hAnsi="Cambria Math"/>
              </w:rPr>
              <m:t>β</m:t>
            </m:r>
          </m:e>
          <m:sub>
            <m:r>
              <w:rPr>
                <w:rStyle w:val="katex-mathml"/>
                <w:rFonts w:ascii="Cambria Math" w:hAnsi="Cambria Math"/>
              </w:rPr>
              <m:t>progress</m:t>
            </m:r>
          </m:sub>
        </m:sSub>
      </m:oMath>
      <w:r w:rsidR="003A227E">
        <w:rPr>
          <w:rStyle w:val="vlist-s"/>
        </w:rPr>
        <w:t xml:space="preserve"> </w:t>
      </w:r>
      <w:r>
        <w:rPr>
          <w:rStyle w:val="vlist-s"/>
        </w:rPr>
        <w:t>​</w:t>
      </w:r>
      <w:r>
        <w:t xml:space="preserve"> that depends on TSCE dynamics.</w:t>
      </w:r>
    </w:p>
    <w:p w:rsidR="0093122B" w:rsidRPr="004216A0" w:rsidRDefault="006347AF" w:rsidP="0093122B">
      <w:pPr>
        <w:pStyle w:val="Heading3"/>
        <w:rPr>
          <w:sz w:val="28"/>
          <w:szCs w:val="28"/>
        </w:rPr>
      </w:pPr>
      <w:r w:rsidRPr="004216A0">
        <w:rPr>
          <w:sz w:val="28"/>
          <w:szCs w:val="28"/>
        </w:rPr>
        <w:t xml:space="preserve">Epidemiological </w:t>
      </w:r>
      <w:r w:rsidR="0093122B" w:rsidRPr="004216A0">
        <w:rPr>
          <w:sz w:val="28"/>
          <w:szCs w:val="28"/>
        </w:rPr>
        <w:t xml:space="preserve">Calibration </w:t>
      </w:r>
      <w:r w:rsidRPr="004216A0">
        <w:rPr>
          <w:sz w:val="28"/>
          <w:szCs w:val="28"/>
        </w:rPr>
        <w:t>process</w:t>
      </w:r>
    </w:p>
    <w:p w:rsidR="0093122B" w:rsidRDefault="0093122B" w:rsidP="00653F46">
      <w:pPr>
        <w:pStyle w:val="NormalWeb"/>
        <w:spacing w:line="276" w:lineRule="auto"/>
        <w:jc w:val="both"/>
      </w:pPr>
      <w:r>
        <w:t xml:space="preserve">Calibrate </w:t>
      </w:r>
      <m:oMath>
        <m:r>
          <w:rPr>
            <w:rStyle w:val="katex-mathml"/>
            <w:rFonts w:ascii="Cambria Math" w:hAnsi="Cambria Math"/>
          </w:rPr>
          <m:t>κ</m:t>
        </m:r>
      </m:oMath>
      <w:r>
        <w:t xml:space="preserve"> (and optionally </w:t>
      </w:r>
      <m:oMath>
        <m:sSub>
          <m:sSubPr>
            <m:ctrlPr>
              <w:rPr>
                <w:rStyle w:val="katex-mathml"/>
                <w:rFonts w:ascii="Cambria Math" w:hAnsi="Cambria Math"/>
                <w:i/>
              </w:rPr>
            </m:ctrlPr>
          </m:sSubPr>
          <m:e>
            <m:r>
              <w:rPr>
                <w:rStyle w:val="katex-mathml"/>
                <w:rFonts w:ascii="Cambria Math" w:hAnsi="Cambria Math"/>
              </w:rPr>
              <m:t>f</m:t>
            </m:r>
          </m:e>
          <m:sub>
            <m:r>
              <w:rPr>
                <w:rStyle w:val="katex-mathml"/>
                <w:rFonts w:ascii="Cambria Math" w:hAnsi="Cambria Math"/>
              </w:rPr>
              <m:t>driver</m:t>
            </m:r>
          </m:sub>
        </m:sSub>
      </m:oMath>
      <w:r>
        <w:rPr>
          <w:rStyle w:val="vlist-s"/>
        </w:rPr>
        <w:t>​</w:t>
      </w:r>
      <w:r>
        <w:t xml:space="preserve"> if you cannot bound it from biology) so that the model’s ERR per 100 Bq·m</w:t>
      </w:r>
      <w:r w:rsidRPr="006347AF">
        <w:rPr>
          <w:rStyle w:val="katex-mathml"/>
          <w:vertAlign w:val="superscript"/>
        </w:rPr>
        <w:t>−3</w:t>
      </w:r>
      <w:r w:rsidR="006347AF">
        <w:rPr>
          <w:rStyle w:val="katex-mathml"/>
        </w:rPr>
        <w:t xml:space="preserve"> </w:t>
      </w:r>
      <w:r>
        <w:t>matches the epid</w:t>
      </w:r>
      <w:r w:rsidR="006347AF">
        <w:t>e</w:t>
      </w:r>
      <w:r w:rsidR="000D135D">
        <w:t xml:space="preserve">miologic benchmark (e.g., </w:t>
      </w:r>
      <w:r w:rsidR="000D135D" w:rsidRPr="00E00D1A">
        <w:t>Wang</w:t>
      </w:r>
      <w:r w:rsidR="000D135D">
        <w:t xml:space="preserve">, 2011 </w:t>
      </w:r>
      <w:r>
        <w:t>estimate</w:t>
      </w:r>
      <w:r w:rsidR="006347AF">
        <w:t>d</w:t>
      </w:r>
      <w:r>
        <w:t xml:space="preserve"> ≈ 0.084 per 100 Bq·m</w:t>
      </w:r>
      <w:r w:rsidRPr="006347AF">
        <w:rPr>
          <w:rStyle w:val="katex-mathml"/>
          <w:vertAlign w:val="superscript"/>
        </w:rPr>
        <w:t>−3</w:t>
      </w:r>
      <w:r>
        <w:t xml:space="preserve">). Practically: choose a small concentration increment </w:t>
      </w:r>
      <m:oMath>
        <m:r>
          <w:rPr>
            <w:rStyle w:val="katex-mathml"/>
            <w:rFonts w:ascii="Cambria Math" w:hAnsi="Cambria Math"/>
          </w:rPr>
          <m:t>ΔC</m:t>
        </m:r>
      </m:oMath>
      <w:r>
        <w:rPr>
          <w:rStyle w:val="katex-mathml"/>
        </w:rPr>
        <w:t>=100</w:t>
      </w:r>
      <w:r w:rsidR="006347AF">
        <w:rPr>
          <w:rStyle w:val="katex-mathml"/>
        </w:rPr>
        <w:t xml:space="preserve"> </w:t>
      </w:r>
      <w:r>
        <w:t>Bq·m</w:t>
      </w:r>
      <w:r w:rsidRPr="006347AF">
        <w:rPr>
          <w:rStyle w:val="katex-mathml"/>
          <w:vertAlign w:val="superscript"/>
        </w:rPr>
        <w:t>−3</w:t>
      </w:r>
      <w:r>
        <w:t xml:space="preserve">, compute </w:t>
      </w:r>
      <m:oMath>
        <m:r>
          <w:rPr>
            <w:rStyle w:val="katex-mathml"/>
            <w:rFonts w:ascii="Cambria Math" w:hAnsi="Cambria Math"/>
          </w:rPr>
          <m:t>Δ</m:t>
        </m:r>
        <m:acc>
          <m:accPr>
            <m:chr m:val="̅"/>
            <m:ctrlPr>
              <w:rPr>
                <w:rStyle w:val="katex-mathml"/>
                <w:rFonts w:ascii="Cambria Math" w:hAnsi="Cambria Math"/>
                <w:i/>
              </w:rPr>
            </m:ctrlPr>
          </m:accPr>
          <m:e>
            <m:r>
              <w:rPr>
                <w:rStyle w:val="katex-mathml"/>
                <w:rFonts w:ascii="Cambria Math" w:hAnsi="Cambria Math"/>
              </w:rPr>
              <m:t>m</m:t>
            </m:r>
          </m:e>
        </m:acc>
      </m:oMath>
      <w:r>
        <w:t xml:space="preserve"> and </w:t>
      </w:r>
      <m:oMath>
        <m:r>
          <w:rPr>
            <w:rStyle w:val="katex-mathml"/>
            <w:rFonts w:ascii="Cambria Math" w:hAnsi="Cambria Math"/>
          </w:rPr>
          <m:t>Δ</m:t>
        </m:r>
        <m:sSub>
          <m:sSubPr>
            <m:ctrlPr>
              <w:rPr>
                <w:rStyle w:val="katex-mathml"/>
                <w:rFonts w:ascii="Cambria Math" w:hAnsi="Cambria Math"/>
                <w:i/>
              </w:rPr>
            </m:ctrlPr>
          </m:sSubPr>
          <m:e>
            <m:r>
              <w:rPr>
                <w:rStyle w:val="katex-mathml"/>
                <w:rFonts w:ascii="Cambria Math" w:hAnsi="Cambria Math"/>
              </w:rPr>
              <m:t>λ</m:t>
            </m:r>
          </m:e>
          <m:sub>
            <m:r>
              <w:rPr>
                <w:rStyle w:val="katex-mathml"/>
                <w:rFonts w:ascii="Cambria Math" w:hAnsi="Cambria Math"/>
                <w:vertAlign w:val="subscript"/>
              </w:rPr>
              <m:t>init</m:t>
            </m:r>
          </m:sub>
        </m:sSub>
      </m:oMath>
      <w:r>
        <w:rPr>
          <w:rStyle w:val="katex-mathml"/>
        </w:rPr>
        <w:t>=</w:t>
      </w:r>
      <m:oMath>
        <m:sSub>
          <m:sSubPr>
            <m:ctrlPr>
              <w:rPr>
                <w:rStyle w:val="katex-mathml"/>
                <w:rFonts w:ascii="Cambria Math" w:hAnsi="Cambria Math"/>
                <w:i/>
              </w:rPr>
            </m:ctrlPr>
          </m:sSubPr>
          <m:e>
            <m:r>
              <w:rPr>
                <w:rStyle w:val="katex-mathml"/>
                <w:rFonts w:ascii="Cambria Math" w:hAnsi="Cambria Math"/>
              </w:rPr>
              <m:t>f</m:t>
            </m:r>
          </m:e>
          <m:sub>
            <m:r>
              <w:rPr>
                <w:rStyle w:val="katex-mathml"/>
                <w:rFonts w:ascii="Cambria Math" w:hAnsi="Cambria Math"/>
              </w:rPr>
              <m:t>driver</m:t>
            </m:r>
          </m:sub>
        </m:sSub>
      </m:oMath>
      <w:r w:rsidR="006347AF">
        <w:rPr>
          <w:rStyle w:val="vlist-s"/>
        </w:rPr>
        <w:t>​</w:t>
      </w:r>
      <m:oMath>
        <m:r>
          <w:rPr>
            <w:rStyle w:val="katex-mathml"/>
            <w:rFonts w:ascii="Cambria Math" w:hAnsi="Cambria Math"/>
          </w:rPr>
          <m:t xml:space="preserve"> Δ</m:t>
        </m:r>
        <m:acc>
          <m:accPr>
            <m:chr m:val="̅"/>
            <m:ctrlPr>
              <w:rPr>
                <w:rStyle w:val="katex-mathml"/>
                <w:rFonts w:ascii="Cambria Math" w:hAnsi="Cambria Math"/>
                <w:i/>
              </w:rPr>
            </m:ctrlPr>
          </m:accPr>
          <m:e>
            <m:r>
              <w:rPr>
                <w:rStyle w:val="katex-mathml"/>
                <w:rFonts w:ascii="Cambria Math" w:hAnsi="Cambria Math"/>
              </w:rPr>
              <m:t>m</m:t>
            </m:r>
          </m:e>
        </m:acc>
      </m:oMath>
      <w:r w:rsidR="006F40D3">
        <w:t xml:space="preserve">, run the TSCE to get </w:t>
      </w:r>
      <w:proofErr w:type="spellStart"/>
      <w:proofErr w:type="gramStart"/>
      <w:r>
        <w:rPr>
          <w:rStyle w:val="katex-mathml"/>
        </w:rPr>
        <w:t>ERR</w:t>
      </w:r>
      <w:r w:rsidRPr="006F40D3">
        <w:rPr>
          <w:rStyle w:val="katex-mathml"/>
          <w:vertAlign w:val="subscript"/>
        </w:rPr>
        <w:t>model</w:t>
      </w:r>
      <w:proofErr w:type="spellEnd"/>
      <w:r w:rsidR="006F40D3">
        <w:rPr>
          <w:rStyle w:val="katex-mathml"/>
        </w:rPr>
        <w:t xml:space="preserve"> </w:t>
      </w:r>
      <w:proofErr w:type="gramEnd"/>
      <m:oMath>
        <m:r>
          <w:rPr>
            <w:rStyle w:val="katex-mathml"/>
            <w:rFonts w:ascii="Cambria Math" w:hAnsi="Cambria Math"/>
          </w:rPr>
          <m:t>(κ)</m:t>
        </m:r>
      </m:oMath>
      <w:r>
        <w:t xml:space="preserve">, then solve for </w:t>
      </w:r>
      <m:oMath>
        <m:r>
          <w:rPr>
            <w:rStyle w:val="katex-mathml"/>
            <w:rFonts w:ascii="Cambria Math" w:hAnsi="Cambria Math"/>
          </w:rPr>
          <m:t>κ</m:t>
        </m:r>
      </m:oMath>
      <w:r>
        <w:t xml:space="preserve"> so that </w:t>
      </w:r>
      <w:proofErr w:type="spellStart"/>
      <w:r>
        <w:rPr>
          <w:rStyle w:val="katex-mathml"/>
        </w:rPr>
        <w:t>ERR</w:t>
      </w:r>
      <w:r w:rsidRPr="006F40D3">
        <w:rPr>
          <w:rStyle w:val="katex-mathml"/>
          <w:vertAlign w:val="subscript"/>
        </w:rPr>
        <w:t>model</w:t>
      </w:r>
      <w:proofErr w:type="spellEnd"/>
      <w:r w:rsidR="006F40D3">
        <w:rPr>
          <w:rStyle w:val="katex-mathml"/>
        </w:rPr>
        <w:t xml:space="preserve"> </w:t>
      </w:r>
      <m:oMath>
        <m:d>
          <m:dPr>
            <m:ctrlPr>
              <w:rPr>
                <w:rStyle w:val="katex-mathml"/>
                <w:rFonts w:ascii="Cambria Math" w:hAnsi="Cambria Math"/>
                <w:i/>
              </w:rPr>
            </m:ctrlPr>
          </m:dPr>
          <m:e>
            <m:r>
              <w:rPr>
                <w:rStyle w:val="katex-mathml"/>
                <w:rFonts w:ascii="Cambria Math" w:hAnsi="Cambria Math"/>
              </w:rPr>
              <m:t>κ</m:t>
            </m:r>
          </m:e>
        </m:d>
        <m:r>
          <w:rPr>
            <w:rStyle w:val="katex-mathml"/>
            <w:rFonts w:ascii="Cambria Math" w:hAnsi="Cambria Math"/>
          </w:rPr>
          <m:t>=</m:t>
        </m:r>
      </m:oMath>
      <w:r w:rsidR="006F40D3">
        <w:rPr>
          <w:rStyle w:val="katex-mathml"/>
        </w:rPr>
        <w:t xml:space="preserve"> </w:t>
      </w:r>
      <m:oMath>
        <m:sSub>
          <m:sSubPr>
            <m:ctrlPr>
              <w:rPr>
                <w:rStyle w:val="katex-mathml"/>
                <w:rFonts w:ascii="Cambria Math" w:hAnsi="Cambria Math"/>
                <w:i/>
              </w:rPr>
            </m:ctrlPr>
          </m:sSubPr>
          <m:e>
            <m:r>
              <w:rPr>
                <w:rStyle w:val="katex-mathml"/>
                <w:rFonts w:ascii="Cambria Math" w:hAnsi="Cambria Math"/>
              </w:rPr>
              <m:t>ERR</m:t>
            </m:r>
          </m:e>
          <m:sub>
            <m:r>
              <w:rPr>
                <w:rStyle w:val="katex-mathml"/>
                <w:rFonts w:ascii="Cambria Math" w:hAnsi="Cambria Math"/>
                <w:vertAlign w:val="subscript"/>
              </w:rPr>
              <m:t>obs</m:t>
            </m:r>
          </m:sub>
        </m:sSub>
      </m:oMath>
      <w:r>
        <w:t xml:space="preserve">. Use likelihood maximization (or simple 1-D root finding) and propagate uncertainty </w:t>
      </w:r>
      <w:proofErr w:type="gramStart"/>
      <w:r>
        <w:t xml:space="preserve">in </w:t>
      </w:r>
      <w:proofErr w:type="gramEnd"/>
      <m:oMath>
        <m:r>
          <w:rPr>
            <w:rStyle w:val="mord"/>
            <w:rFonts w:ascii="Cambria Math" w:eastAsia="Arial MT" w:hAnsi="Cambria Math"/>
          </w:rPr>
          <m:t>h</m:t>
        </m:r>
        <m:r>
          <w:rPr>
            <w:rStyle w:val="mopen"/>
            <w:rFonts w:ascii="Cambria Math" w:hAnsi="Cambria Math"/>
          </w:rPr>
          <m:t>(</m:t>
        </m:r>
        <m:r>
          <w:rPr>
            <w:rStyle w:val="mord"/>
            <w:rFonts w:ascii="Cambria Math" w:eastAsia="Arial MT" w:hAnsi="Cambria Math"/>
          </w:rPr>
          <m:t>C</m:t>
        </m:r>
        <m:r>
          <w:rPr>
            <w:rStyle w:val="mclose"/>
            <w:rFonts w:ascii="Cambria Math" w:hAnsi="Cambria Math"/>
          </w:rPr>
          <m:t>)</m:t>
        </m:r>
      </m:oMath>
      <w:r>
        <w:t xml:space="preserve">, </w:t>
      </w:r>
      <m:oMath>
        <m:sSub>
          <m:sSubPr>
            <m:ctrlPr>
              <w:rPr>
                <w:rStyle w:val="katex-mathml"/>
                <w:rFonts w:ascii="Cambria Math" w:hAnsi="Cambria Math"/>
                <w:i/>
              </w:rPr>
            </m:ctrlPr>
          </m:sSubPr>
          <m:e>
            <m:r>
              <w:rPr>
                <w:rStyle w:val="katex-mathml"/>
                <w:rFonts w:ascii="Cambria Math" w:hAnsi="Cambria Math"/>
              </w:rPr>
              <m:t>f</m:t>
            </m:r>
          </m:e>
          <m:sub>
            <m:r>
              <w:rPr>
                <w:rStyle w:val="katex-mathml"/>
                <w:rFonts w:ascii="Cambria Math" w:hAnsi="Cambria Math"/>
              </w:rPr>
              <m:t>driver</m:t>
            </m:r>
          </m:sub>
        </m:sSub>
      </m:oMath>
      <w:r w:rsidR="006F40D3">
        <w:rPr>
          <w:rStyle w:val="vlist-s"/>
        </w:rPr>
        <w:t>​</w:t>
      </w:r>
      <w:r>
        <w:rPr>
          <w:rStyle w:val="vlist-s"/>
        </w:rPr>
        <w:t>​</w:t>
      </w:r>
      <w:r>
        <w:t xml:space="preserve">, and TSCE parameters via Monte Carlo or a </w:t>
      </w:r>
      <w:r w:rsidR="006F40D3">
        <w:t>Bayesian inference</w:t>
      </w:r>
      <w:r>
        <w:t>. Fit to multiple epidemiologic anchors if desired (Darby pooled residential, miner cohorts via BEIR VI/ICRP conversions) and stratify by smoking if comparing stratum-specific estimates.</w:t>
      </w:r>
    </w:p>
    <w:p w:rsidR="0093122B" w:rsidRPr="004216A0" w:rsidRDefault="0093122B" w:rsidP="0093122B">
      <w:pPr>
        <w:pStyle w:val="Heading3"/>
        <w:rPr>
          <w:sz w:val="28"/>
          <w:szCs w:val="28"/>
        </w:rPr>
      </w:pPr>
      <w:r w:rsidRPr="004216A0">
        <w:rPr>
          <w:sz w:val="28"/>
          <w:szCs w:val="28"/>
        </w:rPr>
        <w:t>High-quality data sources to compare with / use for calibration</w:t>
      </w:r>
    </w:p>
    <w:p w:rsidR="00BF49C8" w:rsidRPr="000D135D" w:rsidRDefault="006F40D3" w:rsidP="000D135D">
      <w:pPr>
        <w:pStyle w:val="NormalWeb"/>
        <w:spacing w:line="276" w:lineRule="auto"/>
        <w:jc w:val="both"/>
      </w:pPr>
      <w:r>
        <w:t>We u</w:t>
      </w:r>
      <w:r w:rsidR="0093122B">
        <w:t>se</w:t>
      </w:r>
      <w:r>
        <w:t>d</w:t>
      </w:r>
      <w:r w:rsidR="0093122B">
        <w:t xml:space="preserve"> the European pooled residential estimate </w:t>
      </w:r>
      <w:r>
        <w:t xml:space="preserve">reported by </w:t>
      </w:r>
      <w:r w:rsidR="000D135D">
        <w:t>(</w:t>
      </w:r>
      <w:r w:rsidR="000D135D" w:rsidRPr="00E00D1A">
        <w:t>Wang</w:t>
      </w:r>
      <w:r w:rsidR="000D135D">
        <w:t xml:space="preserve">, 2011; </w:t>
      </w:r>
      <w:r w:rsidR="000D135D" w:rsidRPr="00836AEF">
        <w:t>UNSCEAR 2019</w:t>
      </w:r>
      <w:r w:rsidR="000D135D">
        <w:t xml:space="preserve"> and WHO, 2009</w:t>
      </w:r>
      <w:r w:rsidR="0093122B">
        <w:t>) as a primary calibration target for residential risk; use BEIR VI/ICRP (miner cohort and dose conversions) for o</w:t>
      </w:r>
      <w:r w:rsidR="000D135D">
        <w:t>ccupational scaling; use WHO 2009</w:t>
      </w:r>
      <w:r w:rsidR="0093122B">
        <w:t xml:space="preserve"> guidance for policy thresholds and alternative dose conversions. When fitting TSCE parameters, consider published TSCE parameter sets used in prior radon risk modeling (BEIR/NRC appendices, ICRP reports) as priors. (When you want, I can pull exact citations / numerical parameter sets for each of these.)</w:t>
      </w:r>
    </w:p>
    <w:p w:rsidR="00B06F3D" w:rsidRPr="004216A0" w:rsidRDefault="00BF49C8" w:rsidP="007A293B">
      <w:pPr>
        <w:pStyle w:val="BodyText"/>
        <w:spacing w:before="86" w:line="276" w:lineRule="auto"/>
        <w:jc w:val="both"/>
        <w:rPr>
          <w:rFonts w:ascii="Times New Roman" w:hAnsi="Times New Roman" w:cs="Times New Roman"/>
          <w:b/>
          <w:sz w:val="28"/>
          <w:szCs w:val="28"/>
        </w:rPr>
      </w:pPr>
      <w:r w:rsidRPr="004216A0">
        <w:rPr>
          <w:rFonts w:ascii="Times New Roman" w:hAnsi="Times New Roman" w:cs="Times New Roman"/>
          <w:b/>
          <w:sz w:val="28"/>
          <w:szCs w:val="28"/>
        </w:rPr>
        <w:t xml:space="preserve">Results and </w:t>
      </w:r>
      <w:r w:rsidR="00C026C2" w:rsidRPr="004216A0">
        <w:rPr>
          <w:rFonts w:ascii="Times New Roman" w:hAnsi="Times New Roman" w:cs="Times New Roman"/>
          <w:b/>
          <w:sz w:val="28"/>
          <w:szCs w:val="28"/>
        </w:rPr>
        <w:t>Discussions</w:t>
      </w:r>
    </w:p>
    <w:p w:rsidR="00BF49C8" w:rsidRDefault="00BF49C8" w:rsidP="00BF49C8">
      <w:pPr>
        <w:spacing w:before="100" w:beforeAutospacing="1" w:after="100" w:afterAutospacing="1" w:line="240" w:lineRule="auto"/>
        <w:jc w:val="center"/>
        <w:rPr>
          <w:rFonts w:ascii="Times New Roman" w:eastAsia="Times New Roman" w:hAnsi="Times New Roman" w:cs="Times New Roman"/>
          <w:sz w:val="24"/>
          <w:szCs w:val="24"/>
        </w:rPr>
      </w:pPr>
      <w:r w:rsidRPr="00C026C2">
        <w:rPr>
          <w:rFonts w:ascii="Times New Roman" w:eastAsia="Times New Roman" w:hAnsi="Times New Roman" w:cs="Times New Roman"/>
          <w:noProof/>
          <w:sz w:val="24"/>
          <w:szCs w:val="24"/>
        </w:rPr>
        <w:lastRenderedPageBreak/>
        <w:drawing>
          <wp:inline distT="0" distB="0" distL="0" distR="0" wp14:anchorId="7DA2CA71" wp14:editId="693D505A">
            <wp:extent cx="5337784" cy="1846053"/>
            <wp:effectExtent l="0" t="0" r="0" b="1905"/>
            <wp:docPr id="4" name="Picture 4" descr="C:\Users\HP\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download (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578"/>
                    <a:stretch/>
                  </pic:blipFill>
                  <pic:spPr bwMode="auto">
                    <a:xfrm>
                      <a:off x="0" y="0"/>
                      <a:ext cx="5374364" cy="1858704"/>
                    </a:xfrm>
                    <a:prstGeom prst="rect">
                      <a:avLst/>
                    </a:prstGeom>
                    <a:noFill/>
                    <a:ln>
                      <a:noFill/>
                    </a:ln>
                    <a:extLst>
                      <a:ext uri="{53640926-AAD7-44D8-BBD7-CCE9431645EC}">
                        <a14:shadowObscured xmlns:a14="http://schemas.microsoft.com/office/drawing/2010/main"/>
                      </a:ext>
                    </a:extLst>
                  </pic:spPr>
                </pic:pic>
              </a:graphicData>
            </a:graphic>
          </wp:inline>
        </w:drawing>
      </w:r>
    </w:p>
    <w:p w:rsidR="00BF49C8" w:rsidRDefault="00BF49C8" w:rsidP="00BF49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Radial distribution of ionizations due to LET deposition probability by Radon progeny Alpha particles.</w:t>
      </w:r>
    </w:p>
    <w:p w:rsidR="00BF49C8" w:rsidRPr="00551E37" w:rsidRDefault="00551E37" w:rsidP="00551E37">
      <w:pPr>
        <w:pStyle w:val="BodyText"/>
        <w:spacing w:before="86" w:line="276" w:lineRule="auto"/>
        <w:jc w:val="both"/>
        <w:rPr>
          <w:rFonts w:ascii="Times New Roman" w:hAnsi="Times New Roman" w:cs="Times New Roman"/>
          <w:sz w:val="24"/>
          <w:szCs w:val="24"/>
        </w:rPr>
      </w:pPr>
      <w:r w:rsidRPr="00320BEA">
        <w:rPr>
          <w:rFonts w:ascii="Times New Roman" w:hAnsi="Times New Roman" w:cs="Times New Roman"/>
          <w:sz w:val="24"/>
          <w:szCs w:val="24"/>
        </w:rPr>
        <w:t>Figure</w:t>
      </w:r>
      <w:r>
        <w:rPr>
          <w:rFonts w:ascii="Times New Roman" w:hAnsi="Times New Roman" w:cs="Times New Roman"/>
          <w:sz w:val="24"/>
          <w:szCs w:val="24"/>
        </w:rPr>
        <w:t xml:space="preserve"> </w:t>
      </w:r>
      <w:r w:rsidRPr="00320BEA">
        <w:rPr>
          <w:rFonts w:ascii="Times New Roman" w:hAnsi="Times New Roman" w:cs="Times New Roman"/>
          <w:sz w:val="24"/>
          <w:szCs w:val="24"/>
        </w:rPr>
        <w:t xml:space="preserve">1 gives the radial distribution of ionizations demonstrates a characteristic track-structure pattern of alpha-particle interactions in the lung cell nucleus. The sharp peak observed at approximately 1.8–2.0 </w:t>
      </w:r>
      <w:proofErr w:type="spellStart"/>
      <w:r w:rsidRPr="00320BEA">
        <w:rPr>
          <w:rFonts w:ascii="Times New Roman" w:hAnsi="Times New Roman" w:cs="Times New Roman"/>
          <w:sz w:val="24"/>
          <w:szCs w:val="24"/>
        </w:rPr>
        <w:t>μm</w:t>
      </w:r>
      <w:proofErr w:type="spellEnd"/>
      <w:r w:rsidRPr="00320BEA">
        <w:rPr>
          <w:rFonts w:ascii="Times New Roman" w:hAnsi="Times New Roman" w:cs="Times New Roman"/>
          <w:sz w:val="24"/>
          <w:szCs w:val="24"/>
        </w:rPr>
        <w:t xml:space="preserve"> reflects the dense clustering of ionizations in the immediate track core, where alpha particles deposit the majority of their energy. This region is associated with highly complex DNA damage, including clustered double-strand breaks and multi-lesion sites, which are often beyond the capacity of repair systems and prone to </w:t>
      </w:r>
      <w:proofErr w:type="spellStart"/>
      <w:r w:rsidRPr="00320BEA">
        <w:rPr>
          <w:rFonts w:ascii="Times New Roman" w:hAnsi="Times New Roman" w:cs="Times New Roman"/>
          <w:sz w:val="24"/>
          <w:szCs w:val="24"/>
        </w:rPr>
        <w:t>misrepair</w:t>
      </w:r>
      <w:proofErr w:type="spellEnd"/>
      <w:r w:rsidRPr="00320BEA">
        <w:rPr>
          <w:rFonts w:ascii="Times New Roman" w:hAnsi="Times New Roman" w:cs="Times New Roman"/>
          <w:sz w:val="24"/>
          <w:szCs w:val="24"/>
        </w:rPr>
        <w:t xml:space="preserve"> or chromosomal aberrations. Beyond this region, the ionization frequency decreases steadily, forming a penumbra where ionizations are caused by delta-ray electrons propagating radially outward. Although these events are more spatially dispersed and generally result in less complex lesions such as base damage and single-strand breaks, they still contribute to the overall mutation burden through repair inefficiencies. Biologically, this duality highlights the importance of spatial heterogeneity in radiation damage: the core generates lethal or transformation-prone lesions, while the penumbra contributes to long-term mutation accumulation. From a modeling perspective, incorporating such radial ionization distributions into biologically based dose-response (BBDR) frameworks strengthens the mechanistic linkage between </w:t>
      </w:r>
      <w:proofErr w:type="spellStart"/>
      <w:r w:rsidRPr="00320BEA">
        <w:rPr>
          <w:rFonts w:ascii="Times New Roman" w:hAnsi="Times New Roman" w:cs="Times New Roman"/>
          <w:sz w:val="24"/>
          <w:szCs w:val="24"/>
        </w:rPr>
        <w:t>microdosimetric</w:t>
      </w:r>
      <w:proofErr w:type="spellEnd"/>
      <w:r w:rsidRPr="00320BEA">
        <w:rPr>
          <w:rFonts w:ascii="Times New Roman" w:hAnsi="Times New Roman" w:cs="Times New Roman"/>
          <w:sz w:val="24"/>
          <w:szCs w:val="24"/>
        </w:rPr>
        <w:t xml:space="preserve"> energy deposition and epidemiological lung cancer risk estimates for radon exposure</w:t>
      </w:r>
      <w:r w:rsidR="00933315">
        <w:rPr>
          <w:rFonts w:ascii="Times New Roman" w:hAnsi="Times New Roman" w:cs="Times New Roman"/>
          <w:sz w:val="24"/>
          <w:szCs w:val="24"/>
        </w:rPr>
        <w:t>, th</w:t>
      </w:r>
      <w:r w:rsidR="005B527C">
        <w:rPr>
          <w:rFonts w:ascii="Times New Roman" w:hAnsi="Times New Roman" w:cs="Times New Roman"/>
          <w:sz w:val="24"/>
          <w:szCs w:val="24"/>
        </w:rPr>
        <w:t>e</w:t>
      </w:r>
      <w:r w:rsidR="00933315">
        <w:rPr>
          <w:rFonts w:ascii="Times New Roman" w:hAnsi="Times New Roman" w:cs="Times New Roman"/>
          <w:sz w:val="24"/>
          <w:szCs w:val="24"/>
        </w:rPr>
        <w:t>s</w:t>
      </w:r>
      <w:r w:rsidR="005B527C">
        <w:rPr>
          <w:rFonts w:ascii="Times New Roman" w:hAnsi="Times New Roman" w:cs="Times New Roman"/>
          <w:sz w:val="24"/>
          <w:szCs w:val="24"/>
        </w:rPr>
        <w:t>e</w:t>
      </w:r>
      <w:r w:rsidR="00933315">
        <w:rPr>
          <w:rFonts w:ascii="Times New Roman" w:hAnsi="Times New Roman" w:cs="Times New Roman"/>
          <w:sz w:val="24"/>
          <w:szCs w:val="24"/>
        </w:rPr>
        <w:t xml:space="preserve"> findin</w:t>
      </w:r>
      <w:r w:rsidR="00BF29DB">
        <w:rPr>
          <w:rFonts w:ascii="Times New Roman" w:hAnsi="Times New Roman" w:cs="Times New Roman"/>
          <w:sz w:val="24"/>
          <w:szCs w:val="24"/>
        </w:rPr>
        <w:t>gs</w:t>
      </w:r>
      <w:r w:rsidR="005B527C">
        <w:rPr>
          <w:rFonts w:ascii="Times New Roman" w:hAnsi="Times New Roman" w:cs="Times New Roman"/>
          <w:sz w:val="24"/>
          <w:szCs w:val="24"/>
        </w:rPr>
        <w:t xml:space="preserve"> are </w:t>
      </w:r>
      <w:r w:rsidR="00390619">
        <w:rPr>
          <w:rFonts w:ascii="Times New Roman" w:hAnsi="Times New Roman" w:cs="Times New Roman"/>
          <w:sz w:val="24"/>
          <w:szCs w:val="24"/>
        </w:rPr>
        <w:t xml:space="preserve">in </w:t>
      </w:r>
      <w:r w:rsidR="00337B9E">
        <w:rPr>
          <w:rFonts w:ascii="Times New Roman" w:hAnsi="Times New Roman" w:cs="Times New Roman"/>
          <w:sz w:val="24"/>
          <w:szCs w:val="24"/>
        </w:rPr>
        <w:t xml:space="preserve">close </w:t>
      </w:r>
      <w:r w:rsidR="000A1639">
        <w:rPr>
          <w:rFonts w:ascii="Times New Roman" w:hAnsi="Times New Roman" w:cs="Times New Roman"/>
          <w:sz w:val="24"/>
          <w:szCs w:val="24"/>
        </w:rPr>
        <w:t>agreement</w:t>
      </w:r>
      <w:r w:rsidR="00337B9E">
        <w:rPr>
          <w:rFonts w:ascii="Times New Roman" w:hAnsi="Times New Roman" w:cs="Times New Roman"/>
          <w:sz w:val="24"/>
          <w:szCs w:val="24"/>
        </w:rPr>
        <w:t xml:space="preserve"> to that of </w:t>
      </w:r>
      <w:r w:rsidR="00D5253E">
        <w:rPr>
          <w:rFonts w:ascii="Times New Roman" w:hAnsi="Times New Roman" w:cs="Times New Roman"/>
          <w:sz w:val="24"/>
          <w:szCs w:val="24"/>
        </w:rPr>
        <w:t>(</w:t>
      </w:r>
      <w:proofErr w:type="spellStart"/>
      <w:r w:rsidR="00D5253E" w:rsidRPr="00E00D1A">
        <w:rPr>
          <w:rFonts w:ascii="Times New Roman" w:hAnsi="Times New Roman" w:cs="Times New Roman"/>
          <w:sz w:val="24"/>
          <w:szCs w:val="24"/>
        </w:rPr>
        <w:t>Parkin</w:t>
      </w:r>
      <w:proofErr w:type="spellEnd"/>
      <w:r w:rsidR="00D5253E">
        <w:rPr>
          <w:rFonts w:ascii="Times New Roman" w:hAnsi="Times New Roman" w:cs="Times New Roman"/>
          <w:sz w:val="24"/>
          <w:szCs w:val="24"/>
        </w:rPr>
        <w:t>, 2011)</w:t>
      </w:r>
      <w:r w:rsidRPr="00320BEA">
        <w:rPr>
          <w:rFonts w:ascii="Times New Roman" w:hAnsi="Times New Roman" w:cs="Times New Roman"/>
          <w:sz w:val="24"/>
          <w:szCs w:val="24"/>
        </w:rPr>
        <w:t>.</w:t>
      </w:r>
    </w:p>
    <w:p w:rsidR="0052647D" w:rsidRDefault="00BF49C8" w:rsidP="0052647D">
      <w:pPr>
        <w:spacing w:before="100" w:beforeAutospacing="1" w:after="100" w:afterAutospacing="1" w:line="240" w:lineRule="auto"/>
        <w:jc w:val="center"/>
        <w:rPr>
          <w:rFonts w:ascii="Times New Roman" w:eastAsia="Times New Roman" w:hAnsi="Times New Roman" w:cs="Times New Roman"/>
          <w:sz w:val="24"/>
          <w:szCs w:val="24"/>
        </w:rPr>
      </w:pPr>
      <w:r w:rsidRPr="00B06F3D">
        <w:rPr>
          <w:rFonts w:ascii="Times New Roman" w:eastAsia="Times New Roman" w:hAnsi="Times New Roman" w:cs="Times New Roman"/>
          <w:noProof/>
          <w:sz w:val="24"/>
          <w:szCs w:val="24"/>
        </w:rPr>
        <w:lastRenderedPageBreak/>
        <w:drawing>
          <wp:inline distT="0" distB="0" distL="0" distR="0" wp14:anchorId="4B7CC35B" wp14:editId="0C5F5254">
            <wp:extent cx="5193030" cy="3398807"/>
            <wp:effectExtent l="0" t="0" r="7620" b="0"/>
            <wp:docPr id="3" name="Picture 3" descr="C:\Users\HP\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downloa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885"/>
                    <a:stretch/>
                  </pic:blipFill>
                  <pic:spPr bwMode="auto">
                    <a:xfrm>
                      <a:off x="0" y="0"/>
                      <a:ext cx="5260677" cy="3443082"/>
                    </a:xfrm>
                    <a:prstGeom prst="rect">
                      <a:avLst/>
                    </a:prstGeom>
                    <a:noFill/>
                    <a:ln>
                      <a:noFill/>
                    </a:ln>
                    <a:extLst>
                      <a:ext uri="{53640926-AAD7-44D8-BBD7-CCE9431645EC}">
                        <a14:shadowObscured xmlns:a14="http://schemas.microsoft.com/office/drawing/2010/main"/>
                      </a:ext>
                    </a:extLst>
                  </pic:spPr>
                </pic:pic>
              </a:graphicData>
            </a:graphic>
          </wp:inline>
        </w:drawing>
      </w:r>
    </w:p>
    <w:p w:rsidR="00BF49C8" w:rsidRDefault="00BF49C8" w:rsidP="00BF49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Ionization events for LET in nucleus </w:t>
      </w:r>
      <w:r w:rsidRPr="00B06F3D">
        <w:rPr>
          <w:rFonts w:ascii="Times New Roman" w:eastAsia="Times New Roman" w:hAnsi="Times New Roman" w:cs="Times New Roman"/>
          <w:sz w:val="24"/>
          <w:szCs w:val="24"/>
        </w:rPr>
        <w:t>with a dual-energy spectrum consisting of 6.00 MeV (50%) and 7.69 MeV (50%)</w:t>
      </w:r>
      <w:r>
        <w:rPr>
          <w:rFonts w:ascii="Times New Roman" w:eastAsia="Times New Roman" w:hAnsi="Times New Roman" w:cs="Times New Roman"/>
          <w:sz w:val="24"/>
          <w:szCs w:val="24"/>
        </w:rPr>
        <w:t>.</w:t>
      </w:r>
    </w:p>
    <w:p w:rsidR="00551E37" w:rsidRDefault="00551E37" w:rsidP="00551E37">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Figure 2</w:t>
      </w:r>
      <w:r w:rsidRPr="00551E37">
        <w:rPr>
          <w:rFonts w:ascii="Times New Roman" w:hAnsi="Times New Roman" w:cs="Times New Roman"/>
          <w:sz w:val="24"/>
          <w:szCs w:val="24"/>
        </w:rPr>
        <w:t xml:space="preserve"> illustrates a three-dimensional </w:t>
      </w:r>
      <w:proofErr w:type="spellStart"/>
      <w:r w:rsidRPr="00551E37">
        <w:rPr>
          <w:rFonts w:ascii="Times New Roman" w:hAnsi="Times New Roman" w:cs="Times New Roman"/>
          <w:sz w:val="24"/>
          <w:szCs w:val="24"/>
        </w:rPr>
        <w:t>microdosimetric</w:t>
      </w:r>
      <w:proofErr w:type="spellEnd"/>
      <w:r w:rsidRPr="00551E37">
        <w:rPr>
          <w:rFonts w:ascii="Times New Roman" w:hAnsi="Times New Roman" w:cs="Times New Roman"/>
          <w:sz w:val="24"/>
          <w:szCs w:val="24"/>
        </w:rPr>
        <w:t xml:space="preserve"> model of an alpha-particle traversal through a spherical cell nucleus, with the transparent wireframe sphere (radius ~</w:t>
      </w:r>
      <w:r w:rsidR="001F6442">
        <w:rPr>
          <w:rFonts w:ascii="Times New Roman" w:hAnsi="Times New Roman" w:cs="Times New Roman"/>
          <w:sz w:val="24"/>
          <w:szCs w:val="24"/>
        </w:rPr>
        <w:t xml:space="preserve"> </w:t>
      </w:r>
      <w:r w:rsidR="000B5298">
        <w:rPr>
          <w:rFonts w:ascii="Times New Roman" w:hAnsi="Times New Roman" w:cs="Times New Roman"/>
          <w:sz w:val="24"/>
          <w:szCs w:val="24"/>
        </w:rPr>
        <w:t xml:space="preserve">4 to </w:t>
      </w:r>
      <w:r w:rsidRPr="00551E37">
        <w:rPr>
          <w:rFonts w:ascii="Times New Roman" w:hAnsi="Times New Roman" w:cs="Times New Roman"/>
          <w:sz w:val="24"/>
          <w:szCs w:val="24"/>
        </w:rPr>
        <w:t xml:space="preserve">5 µm) representing the nuclear volume and the solid diagonal line denoting the alpha track. Such straight-line trajectories are characteristic of high-LET alpha particles, which deposit energy densely along their short paths in tissue, producing clusters of ionizations that can induce complex DNA lesions, including double-strand breaks. This visualization underscores the radiobiological significance of even a single traversal across the nucleus, as it may lead to substantial genomic disruption and contribute to carcinogenic processes. Moreover, the figure serves as a computational foundation for Monte Carlo–based </w:t>
      </w:r>
      <w:proofErr w:type="spellStart"/>
      <w:r w:rsidRPr="00551E37">
        <w:rPr>
          <w:rFonts w:ascii="Times New Roman" w:hAnsi="Times New Roman" w:cs="Times New Roman"/>
          <w:sz w:val="24"/>
          <w:szCs w:val="24"/>
        </w:rPr>
        <w:t>microdosimetry</w:t>
      </w:r>
      <w:proofErr w:type="spellEnd"/>
      <w:r w:rsidRPr="00551E37">
        <w:rPr>
          <w:rFonts w:ascii="Times New Roman" w:hAnsi="Times New Roman" w:cs="Times New Roman"/>
          <w:sz w:val="24"/>
          <w:szCs w:val="24"/>
        </w:rPr>
        <w:t>, where distributions of track traversals and spatial ionization patterns are simulated to estimate mutation induction probabilities. W</w:t>
      </w:r>
      <w:r w:rsidR="00F31532">
        <w:rPr>
          <w:rFonts w:ascii="Times New Roman" w:hAnsi="Times New Roman" w:cs="Times New Roman"/>
          <w:sz w:val="24"/>
          <w:szCs w:val="24"/>
        </w:rPr>
        <w:t xml:space="preserve">ithin a biologically based dose </w:t>
      </w:r>
      <w:r w:rsidRPr="00551E37">
        <w:rPr>
          <w:rFonts w:ascii="Times New Roman" w:hAnsi="Times New Roman" w:cs="Times New Roman"/>
          <w:sz w:val="24"/>
          <w:szCs w:val="24"/>
        </w:rPr>
        <w:t>response (BBDR) framework, such geometric representations provide the essential linkage between environmental radon exposure, physical energy deposition, and downstream biological outcomes, thereby supporting mechanistic predictions of lung cancer risk</w:t>
      </w:r>
      <w:r w:rsidR="00F31532">
        <w:rPr>
          <w:rFonts w:ascii="Times New Roman" w:hAnsi="Times New Roman" w:cs="Times New Roman"/>
          <w:sz w:val="24"/>
          <w:szCs w:val="24"/>
        </w:rPr>
        <w:t>. The observed mutation probabilities for this study correlates with that of (</w:t>
      </w:r>
      <w:r w:rsidR="00F31532" w:rsidRPr="00CF1670">
        <w:rPr>
          <w:rFonts w:ascii="Times New Roman" w:hAnsi="Times New Roman" w:cs="Times New Roman"/>
          <w:sz w:val="24"/>
          <w:szCs w:val="24"/>
        </w:rPr>
        <w:t>Lee</w:t>
      </w:r>
      <w:r w:rsidR="00F31532">
        <w:rPr>
          <w:rFonts w:ascii="Times New Roman" w:hAnsi="Times New Roman" w:cs="Times New Roman"/>
          <w:sz w:val="24"/>
          <w:szCs w:val="24"/>
        </w:rPr>
        <w:t xml:space="preserve"> </w:t>
      </w:r>
      <w:r w:rsidR="00F31532">
        <w:rPr>
          <w:rFonts w:ascii="Times New Roman" w:hAnsi="Times New Roman" w:cs="Times New Roman"/>
          <w:i/>
          <w:sz w:val="24"/>
          <w:szCs w:val="24"/>
        </w:rPr>
        <w:t>et al</w:t>
      </w:r>
      <w:r w:rsidR="00F31532">
        <w:rPr>
          <w:rFonts w:ascii="Times New Roman" w:hAnsi="Times New Roman" w:cs="Times New Roman"/>
          <w:sz w:val="24"/>
          <w:szCs w:val="24"/>
        </w:rPr>
        <w:t xml:space="preserve">., 2017). </w:t>
      </w:r>
    </w:p>
    <w:p w:rsidR="00BF49C8" w:rsidRDefault="00BF49C8" w:rsidP="00BF49C8">
      <w:pPr>
        <w:spacing w:before="100" w:beforeAutospacing="1" w:after="100" w:afterAutospacing="1" w:line="240" w:lineRule="auto"/>
        <w:rPr>
          <w:rFonts w:ascii="Times New Roman" w:eastAsia="Times New Roman" w:hAnsi="Times New Roman" w:cs="Times New Roman"/>
          <w:sz w:val="24"/>
          <w:szCs w:val="24"/>
        </w:rPr>
      </w:pPr>
      <w:r w:rsidRPr="00C42A9A">
        <w:rPr>
          <w:rFonts w:ascii="Times New Roman" w:eastAsia="Times New Roman" w:hAnsi="Times New Roman" w:cs="Times New Roman"/>
          <w:noProof/>
          <w:sz w:val="24"/>
          <w:szCs w:val="24"/>
        </w:rPr>
        <w:lastRenderedPageBreak/>
        <w:drawing>
          <wp:inline distT="0" distB="0" distL="0" distR="0" wp14:anchorId="36E4FAD6" wp14:editId="0977ACCD">
            <wp:extent cx="6175013" cy="20358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346"/>
                    <a:stretch/>
                  </pic:blipFill>
                  <pic:spPr bwMode="auto">
                    <a:xfrm>
                      <a:off x="0" y="0"/>
                      <a:ext cx="6207644" cy="2046592"/>
                    </a:xfrm>
                    <a:prstGeom prst="rect">
                      <a:avLst/>
                    </a:prstGeom>
                    <a:ln>
                      <a:noFill/>
                    </a:ln>
                    <a:extLst>
                      <a:ext uri="{53640926-AAD7-44D8-BBD7-CCE9431645EC}">
                        <a14:shadowObscured xmlns:a14="http://schemas.microsoft.com/office/drawing/2010/main"/>
                      </a:ext>
                    </a:extLst>
                  </pic:spPr>
                </pic:pic>
              </a:graphicData>
            </a:graphic>
          </wp:inline>
        </w:drawing>
      </w:r>
    </w:p>
    <w:p w:rsidR="00BF49C8" w:rsidRDefault="00BF49C8" w:rsidP="00BF49C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w:t>
      </w:r>
      <w:r w:rsidR="00551E37">
        <w:rPr>
          <w:rFonts w:ascii="Times New Roman" w:eastAsia="Times New Roman" w:hAnsi="Times New Roman" w:cs="Times New Roman"/>
          <w:sz w:val="24"/>
          <w:szCs w:val="24"/>
        </w:rPr>
        <w:t>Bar chart distribution for Ionization events</w:t>
      </w:r>
      <w:r>
        <w:rPr>
          <w:rFonts w:ascii="Times New Roman" w:eastAsia="Times New Roman" w:hAnsi="Times New Roman" w:cs="Times New Roman"/>
          <w:sz w:val="24"/>
          <w:szCs w:val="24"/>
        </w:rPr>
        <w:t xml:space="preserve"> </w:t>
      </w:r>
      <w:r w:rsidR="00551E37">
        <w:rPr>
          <w:rFonts w:ascii="Times New Roman" w:eastAsia="Times New Roman" w:hAnsi="Times New Roman" w:cs="Times New Roman"/>
          <w:sz w:val="24"/>
          <w:szCs w:val="24"/>
        </w:rPr>
        <w:t>across various</w:t>
      </w:r>
      <w:r>
        <w:rPr>
          <w:rFonts w:ascii="Times New Roman" w:eastAsia="Times New Roman" w:hAnsi="Times New Roman" w:cs="Times New Roman"/>
          <w:sz w:val="24"/>
          <w:szCs w:val="24"/>
        </w:rPr>
        <w:t xml:space="preserve"> Chromatic Region</w:t>
      </w:r>
      <w:r w:rsidR="00551E37">
        <w:rPr>
          <w:rFonts w:ascii="Times New Roman" w:eastAsia="Times New Roman" w:hAnsi="Times New Roman" w:cs="Times New Roman"/>
          <w:sz w:val="24"/>
          <w:szCs w:val="24"/>
        </w:rPr>
        <w:t>s</w:t>
      </w:r>
      <w:r w:rsidR="00F31532">
        <w:rPr>
          <w:rFonts w:ascii="Times New Roman" w:eastAsia="Times New Roman" w:hAnsi="Times New Roman" w:cs="Times New Roman"/>
          <w:sz w:val="24"/>
          <w:szCs w:val="24"/>
        </w:rPr>
        <w:t>.</w:t>
      </w:r>
    </w:p>
    <w:p w:rsidR="00BF49C8" w:rsidRPr="001C5706" w:rsidRDefault="00551E37" w:rsidP="001C5706">
      <w:pPr>
        <w:pStyle w:val="BodyText"/>
        <w:spacing w:before="86" w:line="276" w:lineRule="auto"/>
        <w:jc w:val="both"/>
        <w:rPr>
          <w:rFonts w:ascii="Times New Roman" w:hAnsi="Times New Roman" w:cs="Times New Roman"/>
          <w:sz w:val="24"/>
          <w:szCs w:val="24"/>
        </w:rPr>
      </w:pPr>
      <w:r w:rsidRPr="00551E37">
        <w:rPr>
          <w:rFonts w:ascii="Times New Roman" w:hAnsi="Times New Roman" w:cs="Times New Roman"/>
          <w:sz w:val="24"/>
          <w:szCs w:val="24"/>
        </w:rPr>
        <w:t xml:space="preserve">Figure 3 presented bar chart depicts the distribution of ionization events across different chromatin regions, distinguishing between heterochromatin and </w:t>
      </w:r>
      <w:proofErr w:type="spellStart"/>
      <w:r w:rsidRPr="00551E37">
        <w:rPr>
          <w:rFonts w:ascii="Times New Roman" w:hAnsi="Times New Roman" w:cs="Times New Roman"/>
          <w:sz w:val="24"/>
          <w:szCs w:val="24"/>
        </w:rPr>
        <w:t>euchromatin</w:t>
      </w:r>
      <w:proofErr w:type="spellEnd"/>
      <w:r w:rsidRPr="00551E37">
        <w:rPr>
          <w:rFonts w:ascii="Times New Roman" w:hAnsi="Times New Roman" w:cs="Times New Roman"/>
          <w:sz w:val="24"/>
          <w:szCs w:val="24"/>
        </w:rPr>
        <w:t xml:space="preserve">. The results reveal a markedly higher frequency of ionizations within </w:t>
      </w:r>
      <w:proofErr w:type="spellStart"/>
      <w:r w:rsidRPr="00551E37">
        <w:rPr>
          <w:rFonts w:ascii="Times New Roman" w:hAnsi="Times New Roman" w:cs="Times New Roman"/>
          <w:sz w:val="24"/>
          <w:szCs w:val="24"/>
        </w:rPr>
        <w:t>euchromatin</w:t>
      </w:r>
      <w:proofErr w:type="spellEnd"/>
      <w:r w:rsidRPr="00551E37">
        <w:rPr>
          <w:rFonts w:ascii="Times New Roman" w:hAnsi="Times New Roman" w:cs="Times New Roman"/>
          <w:sz w:val="24"/>
          <w:szCs w:val="24"/>
        </w:rPr>
        <w:t xml:space="preserve">, with counts approaching 25,000, compared to roughly 3,000 recorded in heterochromatin. This disparity reflects fundamental differences in chromatin organization: </w:t>
      </w:r>
      <w:proofErr w:type="spellStart"/>
      <w:r w:rsidRPr="00551E37">
        <w:rPr>
          <w:rFonts w:ascii="Times New Roman" w:hAnsi="Times New Roman" w:cs="Times New Roman"/>
          <w:sz w:val="24"/>
          <w:szCs w:val="24"/>
        </w:rPr>
        <w:t>euchromatin</w:t>
      </w:r>
      <w:proofErr w:type="spellEnd"/>
      <w:r w:rsidRPr="00551E37">
        <w:rPr>
          <w:rFonts w:ascii="Times New Roman" w:hAnsi="Times New Roman" w:cs="Times New Roman"/>
          <w:sz w:val="24"/>
          <w:szCs w:val="24"/>
        </w:rPr>
        <w:t xml:space="preserve"> is less condensed and more transcriptionally active, rendering it more accessible to traversing alpha-particle tracks and thereby more susceptible to radiation-induced energy deposition. Conversely, the compact structure of heterochromatin provides a relative shielding effect, leading to fewer ionization events within these regions</w:t>
      </w:r>
      <w:r w:rsidR="00F31532">
        <w:rPr>
          <w:rFonts w:ascii="Times New Roman" w:hAnsi="Times New Roman" w:cs="Times New Roman"/>
          <w:sz w:val="24"/>
          <w:szCs w:val="24"/>
        </w:rPr>
        <w:t xml:space="preserve"> as in the case</w:t>
      </w:r>
      <w:r w:rsidR="001C5706">
        <w:rPr>
          <w:rFonts w:ascii="Times New Roman" w:hAnsi="Times New Roman" w:cs="Times New Roman"/>
          <w:sz w:val="24"/>
          <w:szCs w:val="24"/>
        </w:rPr>
        <w:t>s</w:t>
      </w:r>
      <w:r w:rsidR="00F31532">
        <w:rPr>
          <w:rFonts w:ascii="Times New Roman" w:hAnsi="Times New Roman" w:cs="Times New Roman"/>
          <w:sz w:val="24"/>
          <w:szCs w:val="24"/>
        </w:rPr>
        <w:t xml:space="preserve"> of (</w:t>
      </w:r>
      <w:r w:rsidR="001C5706" w:rsidRPr="005E77C0">
        <w:rPr>
          <w:rFonts w:ascii="Times New Roman" w:hAnsi="Times New Roman" w:cs="Times New Roman"/>
          <w:sz w:val="24"/>
          <w:szCs w:val="24"/>
        </w:rPr>
        <w:t>Yuan</w:t>
      </w:r>
      <w:r w:rsidR="001C5706" w:rsidRPr="00CF1670">
        <w:rPr>
          <w:rFonts w:ascii="Times New Roman" w:hAnsi="Times New Roman" w:cs="Times New Roman"/>
          <w:sz w:val="24"/>
          <w:szCs w:val="24"/>
        </w:rPr>
        <w:t xml:space="preserve"> </w:t>
      </w:r>
      <w:r w:rsidR="001C5706">
        <w:rPr>
          <w:rFonts w:ascii="Times New Roman" w:hAnsi="Times New Roman" w:cs="Times New Roman"/>
          <w:i/>
          <w:sz w:val="24"/>
          <w:szCs w:val="24"/>
        </w:rPr>
        <w:t xml:space="preserve">et </w:t>
      </w:r>
      <w:r w:rsidR="001C5706" w:rsidRPr="001C5706">
        <w:rPr>
          <w:rFonts w:ascii="Times New Roman" w:hAnsi="Times New Roman" w:cs="Times New Roman"/>
          <w:sz w:val="24"/>
          <w:szCs w:val="24"/>
        </w:rPr>
        <w:t>al</w:t>
      </w:r>
      <w:r w:rsidR="001C5706">
        <w:rPr>
          <w:rFonts w:ascii="Times New Roman" w:hAnsi="Times New Roman" w:cs="Times New Roman"/>
          <w:sz w:val="24"/>
          <w:szCs w:val="24"/>
        </w:rPr>
        <w:t xml:space="preserve">., 2019; </w:t>
      </w:r>
      <w:r w:rsidR="00F31532" w:rsidRPr="001C5706">
        <w:rPr>
          <w:rFonts w:ascii="Times New Roman" w:hAnsi="Times New Roman" w:cs="Times New Roman"/>
          <w:sz w:val="24"/>
          <w:szCs w:val="24"/>
        </w:rPr>
        <w:t>Lee</w:t>
      </w:r>
      <w:r w:rsidR="00F31532">
        <w:rPr>
          <w:rFonts w:ascii="Times New Roman" w:hAnsi="Times New Roman" w:cs="Times New Roman"/>
          <w:sz w:val="24"/>
          <w:szCs w:val="24"/>
        </w:rPr>
        <w:t xml:space="preserve"> </w:t>
      </w:r>
      <w:r w:rsidR="00F31532">
        <w:rPr>
          <w:rFonts w:ascii="Times New Roman" w:hAnsi="Times New Roman" w:cs="Times New Roman"/>
          <w:i/>
          <w:sz w:val="24"/>
          <w:szCs w:val="24"/>
        </w:rPr>
        <w:t>et al</w:t>
      </w:r>
      <w:r w:rsidR="00F31532">
        <w:rPr>
          <w:rFonts w:ascii="Times New Roman" w:hAnsi="Times New Roman" w:cs="Times New Roman"/>
          <w:sz w:val="24"/>
          <w:szCs w:val="24"/>
        </w:rPr>
        <w:t>., 2017)</w:t>
      </w:r>
      <w:r w:rsidRPr="00551E37">
        <w:rPr>
          <w:rFonts w:ascii="Times New Roman" w:hAnsi="Times New Roman" w:cs="Times New Roman"/>
          <w:sz w:val="24"/>
          <w:szCs w:val="24"/>
        </w:rPr>
        <w:t xml:space="preserve">. From a radiobiological perspective, this uneven distribution of ionizations has significant implications, as DNA damage occurring in </w:t>
      </w:r>
      <w:proofErr w:type="spellStart"/>
      <w:r w:rsidRPr="00551E37">
        <w:rPr>
          <w:rFonts w:ascii="Times New Roman" w:hAnsi="Times New Roman" w:cs="Times New Roman"/>
          <w:sz w:val="24"/>
          <w:szCs w:val="24"/>
        </w:rPr>
        <w:t>euchromatic</w:t>
      </w:r>
      <w:proofErr w:type="spellEnd"/>
      <w:r w:rsidRPr="00551E37">
        <w:rPr>
          <w:rFonts w:ascii="Times New Roman" w:hAnsi="Times New Roman" w:cs="Times New Roman"/>
          <w:sz w:val="24"/>
          <w:szCs w:val="24"/>
        </w:rPr>
        <w:t xml:space="preserve"> regions is more likely to affect actively transcribed genes, potentially leading to mutagenesis and oncogenic transformation. Thu</w:t>
      </w:r>
      <w:r w:rsidR="001C5706">
        <w:rPr>
          <w:rFonts w:ascii="Times New Roman" w:hAnsi="Times New Roman" w:cs="Times New Roman"/>
          <w:sz w:val="24"/>
          <w:szCs w:val="24"/>
        </w:rPr>
        <w:t>s, the visualization proves</w:t>
      </w:r>
      <w:r w:rsidRPr="00551E37">
        <w:rPr>
          <w:rFonts w:ascii="Times New Roman" w:hAnsi="Times New Roman" w:cs="Times New Roman"/>
          <w:sz w:val="24"/>
          <w:szCs w:val="24"/>
        </w:rPr>
        <w:t xml:space="preserve"> the importance of chromatin topology in modulating radiation sensitivity and supports the use of </w:t>
      </w:r>
      <w:proofErr w:type="spellStart"/>
      <w:r w:rsidRPr="00551E37">
        <w:rPr>
          <w:rFonts w:ascii="Times New Roman" w:hAnsi="Times New Roman" w:cs="Times New Roman"/>
          <w:sz w:val="24"/>
          <w:szCs w:val="24"/>
        </w:rPr>
        <w:t>microdosimetric</w:t>
      </w:r>
      <w:proofErr w:type="spellEnd"/>
      <w:r w:rsidRPr="00551E37">
        <w:rPr>
          <w:rFonts w:ascii="Times New Roman" w:hAnsi="Times New Roman" w:cs="Times New Roman"/>
          <w:sz w:val="24"/>
          <w:szCs w:val="24"/>
        </w:rPr>
        <w:t xml:space="preserve"> mapping as a tool for linking physical energy deposition to biological out</w:t>
      </w:r>
      <w:r w:rsidR="001C5706">
        <w:rPr>
          <w:rFonts w:ascii="Times New Roman" w:hAnsi="Times New Roman" w:cs="Times New Roman"/>
          <w:sz w:val="24"/>
          <w:szCs w:val="24"/>
        </w:rPr>
        <w:t xml:space="preserve">comes within a mechanistic dose </w:t>
      </w:r>
      <w:r w:rsidRPr="00551E37">
        <w:rPr>
          <w:rFonts w:ascii="Times New Roman" w:hAnsi="Times New Roman" w:cs="Times New Roman"/>
          <w:sz w:val="24"/>
          <w:szCs w:val="24"/>
        </w:rPr>
        <w:t>response framework.</w:t>
      </w:r>
    </w:p>
    <w:p w:rsidR="00BF49C8" w:rsidRPr="00F5332F" w:rsidRDefault="00BF49C8" w:rsidP="00BF49C8">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3E38C51" wp14:editId="2B8ADD03">
                <wp:simplePos x="0" y="0"/>
                <wp:positionH relativeFrom="column">
                  <wp:posOffset>2915728</wp:posOffset>
                </wp:positionH>
                <wp:positionV relativeFrom="paragraph">
                  <wp:posOffset>5273</wp:posOffset>
                </wp:positionV>
                <wp:extent cx="3226435" cy="3502324"/>
                <wp:effectExtent l="0" t="0" r="12065" b="22225"/>
                <wp:wrapNone/>
                <wp:docPr id="8" name="Text Box 8"/>
                <wp:cNvGraphicFramePr/>
                <a:graphic xmlns:a="http://schemas.openxmlformats.org/drawingml/2006/main">
                  <a:graphicData uri="http://schemas.microsoft.com/office/word/2010/wordprocessingShape">
                    <wps:wsp>
                      <wps:cNvSpPr txBox="1"/>
                      <wps:spPr>
                        <a:xfrm>
                          <a:off x="0" y="0"/>
                          <a:ext cx="3226435" cy="3502324"/>
                        </a:xfrm>
                        <a:prstGeom prst="rect">
                          <a:avLst/>
                        </a:prstGeom>
                        <a:solidFill>
                          <a:schemeClr val="lt1"/>
                        </a:solidFill>
                        <a:ln w="6350">
                          <a:solidFill>
                            <a:prstClr val="black"/>
                          </a:solidFill>
                        </a:ln>
                      </wps:spPr>
                      <wps:txbx>
                        <w:txbxContent>
                          <w:p w:rsidR="00F31532" w:rsidRDefault="00F31532" w:rsidP="00BF49C8">
                            <w:pPr>
                              <w:rPr>
                                <w:noProof/>
                              </w:rPr>
                            </w:pPr>
                            <w:r>
                              <w:rPr>
                                <w:noProof/>
                              </w:rPr>
                              <w:drawing>
                                <wp:inline distT="0" distB="0" distL="0" distR="0" wp14:anchorId="7C52D0BE" wp14:editId="101EF4B3">
                                  <wp:extent cx="3044825" cy="1440612"/>
                                  <wp:effectExtent l="0" t="0" r="317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416" t="7086" r="14622"/>
                                          <a:stretch/>
                                        </pic:blipFill>
                                        <pic:spPr bwMode="auto">
                                          <a:xfrm>
                                            <a:off x="0" y="0"/>
                                            <a:ext cx="3069986" cy="1452517"/>
                                          </a:xfrm>
                                          <a:prstGeom prst="rect">
                                            <a:avLst/>
                                          </a:prstGeom>
                                          <a:ln>
                                            <a:noFill/>
                                          </a:ln>
                                          <a:extLst>
                                            <a:ext uri="{53640926-AAD7-44D8-BBD7-CCE9431645EC}">
                                              <a14:shadowObscured xmlns:a14="http://schemas.microsoft.com/office/drawing/2010/main"/>
                                            </a:ext>
                                          </a:extLst>
                                        </pic:spPr>
                                      </pic:pic>
                                    </a:graphicData>
                                  </a:graphic>
                                </wp:inline>
                              </w:drawing>
                            </w:r>
                          </w:p>
                          <w:p w:rsidR="00F31532" w:rsidRPr="00F417F2" w:rsidRDefault="00F31532" w:rsidP="00BF49C8">
                            <w:pPr>
                              <w:spacing w:after="0"/>
                              <w:rPr>
                                <w:rFonts w:ascii="Times New Roman" w:hAnsi="Times New Roman" w:cs="Times New Roman"/>
                                <w:b/>
                                <w:sz w:val="24"/>
                                <w:szCs w:val="24"/>
                              </w:rPr>
                            </w:pPr>
                            <w:r>
                              <w:t xml:space="preserve">                                      </w:t>
                            </w:r>
                            <w:r w:rsidRPr="00F417F2">
                              <w:rPr>
                                <w:rFonts w:ascii="Times New Roman" w:hAnsi="Times New Roman" w:cs="Times New Roman"/>
                                <w:sz w:val="24"/>
                                <w:szCs w:val="24"/>
                              </w:rPr>
                              <w:t xml:space="preserve">              </w:t>
                            </w:r>
                            <w:r w:rsidRPr="00F417F2">
                              <w:rPr>
                                <w:rFonts w:ascii="Times New Roman" w:hAnsi="Times New Roman" w:cs="Times New Roman"/>
                                <w:b/>
                                <w:sz w:val="24"/>
                                <w:szCs w:val="24"/>
                              </w:rPr>
                              <w:t>C</w:t>
                            </w:r>
                          </w:p>
                          <w:p w:rsidR="00F31532" w:rsidRDefault="00F31532" w:rsidP="00BF49C8">
                            <w:r>
                              <w:rPr>
                                <w:noProof/>
                              </w:rPr>
                              <w:drawing>
                                <wp:inline distT="0" distB="0" distL="0" distR="0" wp14:anchorId="0E9E2B41" wp14:editId="64EE273D">
                                  <wp:extent cx="3053715" cy="13198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413" t="4800" r="8869"/>
                                          <a:stretch/>
                                        </pic:blipFill>
                                        <pic:spPr bwMode="auto">
                                          <a:xfrm>
                                            <a:off x="0" y="0"/>
                                            <a:ext cx="3068056" cy="1326040"/>
                                          </a:xfrm>
                                          <a:prstGeom prst="rect">
                                            <a:avLst/>
                                          </a:prstGeom>
                                          <a:ln>
                                            <a:noFill/>
                                          </a:ln>
                                          <a:extLst>
                                            <a:ext uri="{53640926-AAD7-44D8-BBD7-CCE9431645EC}">
                                              <a14:shadowObscured xmlns:a14="http://schemas.microsoft.com/office/drawing/2010/main"/>
                                            </a:ext>
                                          </a:extLst>
                                        </pic:spPr>
                                      </pic:pic>
                                    </a:graphicData>
                                  </a:graphic>
                                </wp:inline>
                              </w:drawing>
                            </w:r>
                          </w:p>
                          <w:p w:rsidR="00F31532" w:rsidRPr="00F417F2" w:rsidRDefault="00F31532" w:rsidP="00BF49C8">
                            <w:pPr>
                              <w:spacing w:after="0" w:line="240" w:lineRule="auto"/>
                              <w:rPr>
                                <w:rFonts w:ascii="Times New Roman" w:hAnsi="Times New Roman" w:cs="Times New Roman"/>
                                <w:b/>
                                <w:sz w:val="24"/>
                                <w:szCs w:val="24"/>
                              </w:rPr>
                            </w:pPr>
                            <w:r>
                              <w:t xml:space="preserve">                                                   </w:t>
                            </w:r>
                            <w:proofErr w:type="gramStart"/>
                            <w:r w:rsidRPr="00F417F2">
                              <w:rPr>
                                <w:rFonts w:ascii="Times New Roman" w:hAnsi="Times New Roman" w:cs="Times New Roman"/>
                                <w:b/>
                                <w:sz w:val="24"/>
                                <w:szCs w:val="24"/>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8C51" id="_x0000_t202" coordsize="21600,21600" o:spt="202" path="m,l,21600r21600,l21600,xe">
                <v:stroke joinstyle="miter"/>
                <v:path gradientshapeok="t" o:connecttype="rect"/>
              </v:shapetype>
              <v:shape id="Text Box 8" o:spid="_x0000_s1026" type="#_x0000_t202" style="position:absolute;margin-left:229.6pt;margin-top:.4pt;width:254.05pt;height:2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" fillcolor="white [3201]" strokeweight=".5pt">
                <v:textbox>
                  <w:txbxContent>
                    <w:p w:rsidR="00F31532" w:rsidRDefault="00F31532" w:rsidP="00BF49C8">
                      <w:pPr>
                        <w:rPr>
                          <w:noProof/>
                        </w:rPr>
                      </w:pPr>
                      <w:r>
                        <w:rPr>
                          <w:noProof/>
                        </w:rPr>
                        <w:drawing>
                          <wp:inline distT="0" distB="0" distL="0" distR="0" wp14:anchorId="7C52D0BE" wp14:editId="101EF4B3">
                            <wp:extent cx="3044825" cy="1440612"/>
                            <wp:effectExtent l="0" t="0" r="317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416" t="7086" r="14622"/>
                                    <a:stretch/>
                                  </pic:blipFill>
                                  <pic:spPr bwMode="auto">
                                    <a:xfrm>
                                      <a:off x="0" y="0"/>
                                      <a:ext cx="3069986" cy="1452517"/>
                                    </a:xfrm>
                                    <a:prstGeom prst="rect">
                                      <a:avLst/>
                                    </a:prstGeom>
                                    <a:ln>
                                      <a:noFill/>
                                    </a:ln>
                                    <a:extLst>
                                      <a:ext uri="{53640926-AAD7-44D8-BBD7-CCE9431645EC}">
                                        <a14:shadowObscured xmlns:a14="http://schemas.microsoft.com/office/drawing/2010/main"/>
                                      </a:ext>
                                    </a:extLst>
                                  </pic:spPr>
                                </pic:pic>
                              </a:graphicData>
                            </a:graphic>
                          </wp:inline>
                        </w:drawing>
                      </w:r>
                    </w:p>
                    <w:p w:rsidR="00F31532" w:rsidRPr="00F417F2" w:rsidRDefault="00F31532" w:rsidP="00BF49C8">
                      <w:pPr>
                        <w:spacing w:after="0"/>
                        <w:rPr>
                          <w:rFonts w:ascii="Times New Roman" w:hAnsi="Times New Roman" w:cs="Times New Roman"/>
                          <w:b/>
                          <w:sz w:val="24"/>
                          <w:szCs w:val="24"/>
                        </w:rPr>
                      </w:pPr>
                      <w:r>
                        <w:t xml:space="preserve">                                      </w:t>
                      </w:r>
                      <w:r w:rsidRPr="00F417F2">
                        <w:rPr>
                          <w:rFonts w:ascii="Times New Roman" w:hAnsi="Times New Roman" w:cs="Times New Roman"/>
                          <w:sz w:val="24"/>
                          <w:szCs w:val="24"/>
                        </w:rPr>
                        <w:t xml:space="preserve">              </w:t>
                      </w:r>
                      <w:r w:rsidRPr="00F417F2">
                        <w:rPr>
                          <w:rFonts w:ascii="Times New Roman" w:hAnsi="Times New Roman" w:cs="Times New Roman"/>
                          <w:b/>
                          <w:sz w:val="24"/>
                          <w:szCs w:val="24"/>
                        </w:rPr>
                        <w:t>C</w:t>
                      </w:r>
                    </w:p>
                    <w:p w:rsidR="00F31532" w:rsidRDefault="00F31532" w:rsidP="00BF49C8">
                      <w:r>
                        <w:rPr>
                          <w:noProof/>
                        </w:rPr>
                        <w:drawing>
                          <wp:inline distT="0" distB="0" distL="0" distR="0" wp14:anchorId="0E9E2B41" wp14:editId="64EE273D">
                            <wp:extent cx="3053715" cy="13198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413" t="4800" r="8869"/>
                                    <a:stretch/>
                                  </pic:blipFill>
                                  <pic:spPr bwMode="auto">
                                    <a:xfrm>
                                      <a:off x="0" y="0"/>
                                      <a:ext cx="3068056" cy="1326040"/>
                                    </a:xfrm>
                                    <a:prstGeom prst="rect">
                                      <a:avLst/>
                                    </a:prstGeom>
                                    <a:ln>
                                      <a:noFill/>
                                    </a:ln>
                                    <a:extLst>
                                      <a:ext uri="{53640926-AAD7-44D8-BBD7-CCE9431645EC}">
                                        <a14:shadowObscured xmlns:a14="http://schemas.microsoft.com/office/drawing/2010/main"/>
                                      </a:ext>
                                    </a:extLst>
                                  </pic:spPr>
                                </pic:pic>
                              </a:graphicData>
                            </a:graphic>
                          </wp:inline>
                        </w:drawing>
                      </w:r>
                    </w:p>
                    <w:p w:rsidR="00F31532" w:rsidRPr="00F417F2" w:rsidRDefault="00F31532" w:rsidP="00BF49C8">
                      <w:pPr>
                        <w:spacing w:after="0" w:line="240" w:lineRule="auto"/>
                        <w:rPr>
                          <w:rFonts w:ascii="Times New Roman" w:hAnsi="Times New Roman" w:cs="Times New Roman"/>
                          <w:b/>
                          <w:sz w:val="24"/>
                          <w:szCs w:val="24"/>
                        </w:rPr>
                      </w:pPr>
                      <w:r>
                        <w:t xml:space="preserve">                                                   </w:t>
                      </w:r>
                      <w:proofErr w:type="gramStart"/>
                      <w:r w:rsidRPr="00F417F2">
                        <w:rPr>
                          <w:rFonts w:ascii="Times New Roman" w:hAnsi="Times New Roman" w:cs="Times New Roman"/>
                          <w:b/>
                          <w:sz w:val="24"/>
                          <w:szCs w:val="24"/>
                        </w:rPr>
                        <w:t>d</w:t>
                      </w:r>
                      <w:proofErr w:type="gramEnd"/>
                    </w:p>
                  </w:txbxContent>
                </v:textbox>
              </v:shape>
            </w:pict>
          </mc:Fallback>
        </mc:AlternateContent>
      </w: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94D90EA" wp14:editId="7FBD05CB">
                <wp:simplePos x="0" y="0"/>
                <wp:positionH relativeFrom="margin">
                  <wp:posOffset>129396</wp:posOffset>
                </wp:positionH>
                <wp:positionV relativeFrom="paragraph">
                  <wp:posOffset>5272</wp:posOffset>
                </wp:positionV>
                <wp:extent cx="2814320" cy="3493698"/>
                <wp:effectExtent l="0" t="0" r="24130" b="12065"/>
                <wp:wrapNone/>
                <wp:docPr id="6" name="Text Box 6"/>
                <wp:cNvGraphicFramePr/>
                <a:graphic xmlns:a="http://schemas.openxmlformats.org/drawingml/2006/main">
                  <a:graphicData uri="http://schemas.microsoft.com/office/word/2010/wordprocessingShape">
                    <wps:wsp>
                      <wps:cNvSpPr txBox="1"/>
                      <wps:spPr>
                        <a:xfrm>
                          <a:off x="0" y="0"/>
                          <a:ext cx="2814320" cy="3493698"/>
                        </a:xfrm>
                        <a:prstGeom prst="rect">
                          <a:avLst/>
                        </a:prstGeom>
                        <a:solidFill>
                          <a:schemeClr val="lt1"/>
                        </a:solidFill>
                        <a:ln w="6350">
                          <a:solidFill>
                            <a:prstClr val="black"/>
                          </a:solidFill>
                        </a:ln>
                      </wps:spPr>
                      <wps:txbx>
                        <w:txbxContent>
                          <w:p w:rsidR="00F31532" w:rsidRDefault="00F31532" w:rsidP="00BF49C8">
                            <w:pPr>
                              <w:rPr>
                                <w:rFonts w:ascii="Times New Roman" w:eastAsia="Times New Roman" w:hAnsi="Times New Roman" w:cs="Times New Roman"/>
                                <w:sz w:val="24"/>
                                <w:szCs w:val="24"/>
                              </w:rPr>
                            </w:pPr>
                            <w:r w:rsidRPr="00F5332F">
                              <w:rPr>
                                <w:rFonts w:ascii="Times New Roman" w:eastAsia="Times New Roman" w:hAnsi="Times New Roman" w:cs="Times New Roman"/>
                                <w:noProof/>
                                <w:sz w:val="24"/>
                                <w:szCs w:val="24"/>
                              </w:rPr>
                              <w:drawing>
                                <wp:inline distT="0" distB="0" distL="0" distR="0" wp14:anchorId="34243A38" wp14:editId="6CDA5187">
                                  <wp:extent cx="2633345" cy="14233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197" t="3768" r="15219"/>
                                          <a:stretch/>
                                        </pic:blipFill>
                                        <pic:spPr bwMode="auto">
                                          <a:xfrm>
                                            <a:off x="0" y="0"/>
                                            <a:ext cx="2676532" cy="1446702"/>
                                          </a:xfrm>
                                          <a:prstGeom prst="rect">
                                            <a:avLst/>
                                          </a:prstGeom>
                                          <a:ln>
                                            <a:noFill/>
                                          </a:ln>
                                          <a:extLst>
                                            <a:ext uri="{53640926-AAD7-44D8-BBD7-CCE9431645EC}">
                                              <a14:shadowObscured xmlns:a14="http://schemas.microsoft.com/office/drawing/2010/main"/>
                                            </a:ext>
                                          </a:extLst>
                                        </pic:spPr>
                                      </pic:pic>
                                    </a:graphicData>
                                  </a:graphic>
                                </wp:inline>
                              </w:drawing>
                            </w:r>
                          </w:p>
                          <w:p w:rsidR="00F31532" w:rsidRPr="00F417F2" w:rsidRDefault="00F31532" w:rsidP="00BF49C8">
                            <w:pPr>
                              <w:spacing w:after="0" w:line="240" w:lineRule="auto"/>
                              <w:rPr>
                                <w:rFonts w:ascii="Times New Roman" w:hAnsi="Times New Roman" w:cs="Times New Roman"/>
                                <w:b/>
                                <w:noProof/>
                                <w:sz w:val="24"/>
                                <w:szCs w:val="24"/>
                              </w:rPr>
                            </w:pPr>
                            <w:r>
                              <w:rPr>
                                <w:noProof/>
                              </w:rPr>
                              <w:t xml:space="preserve">                                         </w:t>
                            </w:r>
                            <w:r w:rsidRPr="00F417F2">
                              <w:rPr>
                                <w:rFonts w:ascii="Times New Roman" w:hAnsi="Times New Roman" w:cs="Times New Roman"/>
                                <w:noProof/>
                                <w:sz w:val="24"/>
                                <w:szCs w:val="24"/>
                              </w:rPr>
                              <w:t xml:space="preserve"> </w:t>
                            </w:r>
                            <w:r w:rsidRPr="00F417F2">
                              <w:rPr>
                                <w:rFonts w:ascii="Times New Roman" w:hAnsi="Times New Roman" w:cs="Times New Roman"/>
                                <w:b/>
                                <w:noProof/>
                                <w:sz w:val="24"/>
                                <w:szCs w:val="24"/>
                              </w:rPr>
                              <w:t>a</w:t>
                            </w:r>
                          </w:p>
                          <w:p w:rsidR="00F31532" w:rsidRDefault="00F31532" w:rsidP="00BF49C8">
                            <w:pPr>
                              <w:rPr>
                                <w:noProof/>
                              </w:rPr>
                            </w:pPr>
                            <w:r>
                              <w:rPr>
                                <w:noProof/>
                              </w:rPr>
                              <w:drawing>
                                <wp:inline distT="0" distB="0" distL="0" distR="0" wp14:anchorId="0E76AA6C" wp14:editId="7974A6CE">
                                  <wp:extent cx="2653457"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2893" t="3141" r="11593" b="1"/>
                                          <a:stretch/>
                                        </pic:blipFill>
                                        <pic:spPr bwMode="auto">
                                          <a:xfrm>
                                            <a:off x="0" y="0"/>
                                            <a:ext cx="2765053" cy="1429285"/>
                                          </a:xfrm>
                                          <a:prstGeom prst="rect">
                                            <a:avLst/>
                                          </a:prstGeom>
                                          <a:ln>
                                            <a:noFill/>
                                          </a:ln>
                                          <a:extLst>
                                            <a:ext uri="{53640926-AAD7-44D8-BBD7-CCE9431645EC}">
                                              <a14:shadowObscured xmlns:a14="http://schemas.microsoft.com/office/drawing/2010/main"/>
                                            </a:ext>
                                          </a:extLst>
                                        </pic:spPr>
                                      </pic:pic>
                                    </a:graphicData>
                                  </a:graphic>
                                </wp:inline>
                              </w:drawing>
                            </w:r>
                          </w:p>
                          <w:p w:rsidR="00F31532" w:rsidRPr="00F417F2" w:rsidRDefault="00F31532" w:rsidP="00BF49C8">
                            <w:pPr>
                              <w:spacing w:after="0"/>
                              <w:rPr>
                                <w:rFonts w:ascii="Times New Roman" w:hAnsi="Times New Roman" w:cs="Times New Roman"/>
                                <w:b/>
                                <w:noProof/>
                                <w:sz w:val="24"/>
                                <w:szCs w:val="24"/>
                              </w:rPr>
                            </w:pPr>
                            <w:r w:rsidRPr="00F417F2">
                              <w:rPr>
                                <w:rFonts w:ascii="Times New Roman" w:hAnsi="Times New Roman" w:cs="Times New Roman"/>
                                <w:b/>
                                <w:noProof/>
                                <w:sz w:val="24"/>
                                <w:szCs w:val="24"/>
                              </w:rP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90EA" id="Text Box 6" o:spid="_x0000_s1027" type="#_x0000_t202" style="position:absolute;margin-left:10.2pt;margin-top:.4pt;width:221.6pt;height:27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" fillcolor="white [3201]" strokeweight=".5pt">
                <v:textbox>
                  <w:txbxContent>
                    <w:p w:rsidR="00F31532" w:rsidRDefault="00F31532" w:rsidP="00BF49C8">
                      <w:pPr>
                        <w:rPr>
                          <w:rFonts w:ascii="Times New Roman" w:eastAsia="Times New Roman" w:hAnsi="Times New Roman" w:cs="Times New Roman"/>
                          <w:sz w:val="24"/>
                          <w:szCs w:val="24"/>
                        </w:rPr>
                      </w:pPr>
                      <w:r w:rsidRPr="00F5332F">
                        <w:rPr>
                          <w:rFonts w:ascii="Times New Roman" w:eastAsia="Times New Roman" w:hAnsi="Times New Roman" w:cs="Times New Roman"/>
                          <w:noProof/>
                          <w:sz w:val="24"/>
                          <w:szCs w:val="24"/>
                        </w:rPr>
                        <w:drawing>
                          <wp:inline distT="0" distB="0" distL="0" distR="0" wp14:anchorId="34243A38" wp14:editId="6CDA5187">
                            <wp:extent cx="2633345" cy="14233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3197" t="3768" r="15219"/>
                                    <a:stretch/>
                                  </pic:blipFill>
                                  <pic:spPr bwMode="auto">
                                    <a:xfrm>
                                      <a:off x="0" y="0"/>
                                      <a:ext cx="2676532" cy="1446702"/>
                                    </a:xfrm>
                                    <a:prstGeom prst="rect">
                                      <a:avLst/>
                                    </a:prstGeom>
                                    <a:ln>
                                      <a:noFill/>
                                    </a:ln>
                                    <a:extLst>
                                      <a:ext uri="{53640926-AAD7-44D8-BBD7-CCE9431645EC}">
                                        <a14:shadowObscured xmlns:a14="http://schemas.microsoft.com/office/drawing/2010/main"/>
                                      </a:ext>
                                    </a:extLst>
                                  </pic:spPr>
                                </pic:pic>
                              </a:graphicData>
                            </a:graphic>
                          </wp:inline>
                        </w:drawing>
                      </w:r>
                    </w:p>
                    <w:p w:rsidR="00F31532" w:rsidRPr="00F417F2" w:rsidRDefault="00F31532" w:rsidP="00BF49C8">
                      <w:pPr>
                        <w:spacing w:after="0" w:line="240" w:lineRule="auto"/>
                        <w:rPr>
                          <w:rFonts w:ascii="Times New Roman" w:hAnsi="Times New Roman" w:cs="Times New Roman"/>
                          <w:b/>
                          <w:noProof/>
                          <w:sz w:val="24"/>
                          <w:szCs w:val="24"/>
                        </w:rPr>
                      </w:pPr>
                      <w:r>
                        <w:rPr>
                          <w:noProof/>
                        </w:rPr>
                        <w:t xml:space="preserve">                                         </w:t>
                      </w:r>
                      <w:r w:rsidRPr="00F417F2">
                        <w:rPr>
                          <w:rFonts w:ascii="Times New Roman" w:hAnsi="Times New Roman" w:cs="Times New Roman"/>
                          <w:noProof/>
                          <w:sz w:val="24"/>
                          <w:szCs w:val="24"/>
                        </w:rPr>
                        <w:t xml:space="preserve"> </w:t>
                      </w:r>
                      <w:r w:rsidRPr="00F417F2">
                        <w:rPr>
                          <w:rFonts w:ascii="Times New Roman" w:hAnsi="Times New Roman" w:cs="Times New Roman"/>
                          <w:b/>
                          <w:noProof/>
                          <w:sz w:val="24"/>
                          <w:szCs w:val="24"/>
                        </w:rPr>
                        <w:t>a</w:t>
                      </w:r>
                    </w:p>
                    <w:p w:rsidR="00F31532" w:rsidRDefault="00F31532" w:rsidP="00BF49C8">
                      <w:pPr>
                        <w:rPr>
                          <w:noProof/>
                        </w:rPr>
                      </w:pPr>
                      <w:r>
                        <w:rPr>
                          <w:noProof/>
                        </w:rPr>
                        <w:drawing>
                          <wp:inline distT="0" distB="0" distL="0" distR="0" wp14:anchorId="0E76AA6C" wp14:editId="7974A6CE">
                            <wp:extent cx="2653457"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2893" t="3141" r="11593" b="1"/>
                                    <a:stretch/>
                                  </pic:blipFill>
                                  <pic:spPr bwMode="auto">
                                    <a:xfrm>
                                      <a:off x="0" y="0"/>
                                      <a:ext cx="2765053" cy="1429285"/>
                                    </a:xfrm>
                                    <a:prstGeom prst="rect">
                                      <a:avLst/>
                                    </a:prstGeom>
                                    <a:ln>
                                      <a:noFill/>
                                    </a:ln>
                                    <a:extLst>
                                      <a:ext uri="{53640926-AAD7-44D8-BBD7-CCE9431645EC}">
                                        <a14:shadowObscured xmlns:a14="http://schemas.microsoft.com/office/drawing/2010/main"/>
                                      </a:ext>
                                    </a:extLst>
                                  </pic:spPr>
                                </pic:pic>
                              </a:graphicData>
                            </a:graphic>
                          </wp:inline>
                        </w:drawing>
                      </w:r>
                    </w:p>
                    <w:p w:rsidR="00F31532" w:rsidRPr="00F417F2" w:rsidRDefault="00F31532" w:rsidP="00BF49C8">
                      <w:pPr>
                        <w:spacing w:after="0"/>
                        <w:rPr>
                          <w:rFonts w:ascii="Times New Roman" w:hAnsi="Times New Roman" w:cs="Times New Roman"/>
                          <w:b/>
                          <w:noProof/>
                          <w:sz w:val="24"/>
                          <w:szCs w:val="24"/>
                        </w:rPr>
                      </w:pPr>
                      <w:r w:rsidRPr="00F417F2">
                        <w:rPr>
                          <w:rFonts w:ascii="Times New Roman" w:hAnsi="Times New Roman" w:cs="Times New Roman"/>
                          <w:b/>
                          <w:noProof/>
                          <w:sz w:val="24"/>
                          <w:szCs w:val="24"/>
                        </w:rPr>
                        <w:t xml:space="preserve">                                           b</w:t>
                      </w:r>
                    </w:p>
                  </w:txbxContent>
                </v:textbox>
                <w10:wrap anchorx="margin"/>
              </v:shape>
            </w:pict>
          </mc:Fallback>
        </mc:AlternateContent>
      </w:r>
    </w:p>
    <w:p w:rsidR="00BF49C8" w:rsidRDefault="00BF49C8" w:rsidP="00BF49C8">
      <w:pPr>
        <w:spacing w:before="100" w:beforeAutospacing="1" w:after="100" w:afterAutospacing="1" w:line="240" w:lineRule="auto"/>
        <w:rPr>
          <w:rFonts w:ascii="Times New Roman" w:eastAsia="Times New Roman" w:hAnsi="Times New Roman" w:cs="Times New Roman"/>
          <w:sz w:val="24"/>
          <w:szCs w:val="24"/>
        </w:rPr>
      </w:pPr>
    </w:p>
    <w:p w:rsidR="00BF49C8" w:rsidRDefault="00BF49C8" w:rsidP="00BF49C8">
      <w:pPr>
        <w:spacing w:before="100" w:beforeAutospacing="1" w:after="100" w:afterAutospacing="1" w:line="240" w:lineRule="auto"/>
        <w:rPr>
          <w:rFonts w:ascii="Times New Roman" w:eastAsia="Times New Roman" w:hAnsi="Times New Roman" w:cs="Times New Roman"/>
          <w:sz w:val="24"/>
          <w:szCs w:val="24"/>
        </w:rPr>
      </w:pPr>
    </w:p>
    <w:p w:rsidR="00BF49C8" w:rsidRDefault="00BF49C8" w:rsidP="00BF49C8">
      <w:pPr>
        <w:spacing w:before="100" w:beforeAutospacing="1" w:after="100" w:afterAutospacing="1" w:line="240" w:lineRule="auto"/>
        <w:rPr>
          <w:rFonts w:ascii="Times New Roman" w:eastAsia="Times New Roman" w:hAnsi="Times New Roman" w:cs="Times New Roman"/>
          <w:sz w:val="24"/>
          <w:szCs w:val="24"/>
        </w:rPr>
      </w:pPr>
    </w:p>
    <w:p w:rsidR="00BF49C8" w:rsidRPr="00B06F3D" w:rsidRDefault="00BF49C8" w:rsidP="00BF49C8">
      <w:pPr>
        <w:spacing w:before="100" w:beforeAutospacing="1" w:after="100" w:afterAutospacing="1" w:line="240" w:lineRule="auto"/>
        <w:rPr>
          <w:rFonts w:ascii="Times New Roman" w:eastAsia="Times New Roman" w:hAnsi="Times New Roman" w:cs="Times New Roman"/>
          <w:sz w:val="24"/>
          <w:szCs w:val="24"/>
        </w:rPr>
      </w:pPr>
    </w:p>
    <w:p w:rsidR="00BF49C8" w:rsidRDefault="00BF49C8" w:rsidP="00BF49C8">
      <w:pPr>
        <w:pStyle w:val="BodyText"/>
        <w:spacing w:before="86" w:line="276" w:lineRule="auto"/>
        <w:jc w:val="both"/>
        <w:rPr>
          <w:rFonts w:ascii="Times New Roman" w:hAnsi="Times New Roman" w:cs="Times New Roman"/>
          <w:b/>
          <w:sz w:val="24"/>
          <w:szCs w:val="24"/>
        </w:rPr>
      </w:pPr>
    </w:p>
    <w:p w:rsidR="00BF49C8" w:rsidRDefault="00BF49C8" w:rsidP="00BF49C8">
      <w:pPr>
        <w:pStyle w:val="BodyText"/>
        <w:spacing w:before="86" w:line="276" w:lineRule="auto"/>
        <w:jc w:val="both"/>
        <w:rPr>
          <w:rFonts w:ascii="Times New Roman" w:hAnsi="Times New Roman" w:cs="Times New Roman"/>
          <w:b/>
          <w:sz w:val="24"/>
          <w:szCs w:val="24"/>
        </w:rPr>
      </w:pPr>
    </w:p>
    <w:p w:rsidR="00BF49C8" w:rsidRDefault="00BF49C8" w:rsidP="00BF49C8">
      <w:pPr>
        <w:pStyle w:val="BodyText"/>
        <w:spacing w:before="86" w:line="276" w:lineRule="auto"/>
        <w:jc w:val="both"/>
        <w:rPr>
          <w:rFonts w:ascii="Times New Roman" w:hAnsi="Times New Roman" w:cs="Times New Roman"/>
          <w:b/>
          <w:sz w:val="24"/>
          <w:szCs w:val="24"/>
        </w:rPr>
      </w:pPr>
    </w:p>
    <w:p w:rsidR="00BF49C8" w:rsidRDefault="00BF49C8" w:rsidP="00BF49C8">
      <w:pPr>
        <w:pStyle w:val="BodyText"/>
        <w:spacing w:before="86" w:line="276" w:lineRule="auto"/>
        <w:jc w:val="both"/>
        <w:rPr>
          <w:rFonts w:ascii="Times New Roman" w:hAnsi="Times New Roman" w:cs="Times New Roman"/>
          <w:b/>
          <w:sz w:val="24"/>
          <w:szCs w:val="24"/>
        </w:rPr>
      </w:pPr>
    </w:p>
    <w:p w:rsidR="00BF49C8" w:rsidRDefault="00BF49C8" w:rsidP="00BF49C8">
      <w:pPr>
        <w:pStyle w:val="BodyText"/>
        <w:spacing w:before="86" w:line="276" w:lineRule="auto"/>
        <w:jc w:val="both"/>
        <w:rPr>
          <w:rFonts w:ascii="Times New Roman" w:hAnsi="Times New Roman" w:cs="Times New Roman"/>
          <w:b/>
          <w:sz w:val="24"/>
          <w:szCs w:val="24"/>
        </w:rPr>
      </w:pPr>
    </w:p>
    <w:p w:rsidR="00BF49C8" w:rsidRDefault="00BF49C8" w:rsidP="00BF49C8">
      <w:pPr>
        <w:pStyle w:val="BodyText"/>
        <w:spacing w:before="86" w:line="276" w:lineRule="auto"/>
        <w:jc w:val="both"/>
        <w:rPr>
          <w:rFonts w:ascii="Times New Roman" w:hAnsi="Times New Roman" w:cs="Times New Roman"/>
          <w:b/>
          <w:sz w:val="24"/>
          <w:szCs w:val="24"/>
        </w:rPr>
      </w:pPr>
    </w:p>
    <w:p w:rsidR="00BF49C8" w:rsidRDefault="00BF49C8" w:rsidP="00BF49C8">
      <w:pPr>
        <w:pStyle w:val="BodyText"/>
        <w:jc w:val="both"/>
        <w:rPr>
          <w:rFonts w:ascii="Times New Roman" w:hAnsi="Times New Roman" w:cs="Times New Roman"/>
          <w:b/>
          <w:sz w:val="24"/>
          <w:szCs w:val="24"/>
        </w:rPr>
      </w:pPr>
    </w:p>
    <w:p w:rsidR="00BF49C8" w:rsidRDefault="00BF49C8" w:rsidP="00BF49C8">
      <w:pPr>
        <w:pStyle w:val="BodyText"/>
        <w:jc w:val="both"/>
        <w:rPr>
          <w:rFonts w:ascii="Times New Roman" w:hAnsi="Times New Roman" w:cs="Times New Roman"/>
          <w:b/>
          <w:sz w:val="24"/>
          <w:szCs w:val="24"/>
        </w:rPr>
      </w:pPr>
    </w:p>
    <w:p w:rsidR="00BF49C8" w:rsidRPr="0052647D" w:rsidRDefault="00BF49C8" w:rsidP="0052647D">
      <w:pPr>
        <w:pStyle w:val="BodyText"/>
        <w:jc w:val="both"/>
        <w:rPr>
          <w:rFonts w:ascii="Times New Roman" w:hAnsi="Times New Roman" w:cs="Times New Roman"/>
          <w:sz w:val="24"/>
          <w:szCs w:val="24"/>
        </w:rPr>
      </w:pPr>
      <w:r>
        <w:rPr>
          <w:rFonts w:ascii="Times New Roman" w:hAnsi="Times New Roman" w:cs="Times New Roman"/>
          <w:sz w:val="24"/>
          <w:szCs w:val="24"/>
        </w:rPr>
        <w:t xml:space="preserve">Figure 4: </w:t>
      </w:r>
      <w:r w:rsidRPr="00F417F2">
        <w:rPr>
          <w:rFonts w:ascii="Times New Roman" w:hAnsi="Times New Roman" w:cs="Times New Roman"/>
          <w:sz w:val="24"/>
          <w:szCs w:val="24"/>
        </w:rPr>
        <w:t>DNA fragments wi</w:t>
      </w:r>
      <w:r>
        <w:rPr>
          <w:rFonts w:ascii="Times New Roman" w:hAnsi="Times New Roman" w:cs="Times New Roman"/>
          <w:sz w:val="24"/>
          <w:szCs w:val="24"/>
        </w:rPr>
        <w:t>th clustered ionization damage for SSB,</w:t>
      </w:r>
      <w:r w:rsidRPr="00F417F2">
        <w:rPr>
          <w:rFonts w:ascii="Times New Roman" w:hAnsi="Times New Roman" w:cs="Times New Roman"/>
          <w:sz w:val="24"/>
          <w:szCs w:val="24"/>
        </w:rPr>
        <w:t xml:space="preserve"> DSB formation</w:t>
      </w:r>
      <w:r>
        <w:rPr>
          <w:rFonts w:ascii="Times New Roman" w:hAnsi="Times New Roman" w:cs="Times New Roman"/>
          <w:sz w:val="24"/>
          <w:szCs w:val="24"/>
        </w:rPr>
        <w:t xml:space="preserve"> and Structural distortion</w:t>
      </w:r>
    </w:p>
    <w:p w:rsidR="00BF49C8" w:rsidRPr="005B47B0" w:rsidRDefault="00BF49C8" w:rsidP="005B47B0">
      <w:pPr>
        <w:pStyle w:val="BodyText"/>
        <w:spacing w:before="86" w:line="276" w:lineRule="auto"/>
        <w:jc w:val="both"/>
        <w:rPr>
          <w:rFonts w:ascii="Times New Roman" w:hAnsi="Times New Roman" w:cs="Times New Roman"/>
          <w:sz w:val="24"/>
          <w:szCs w:val="24"/>
        </w:rPr>
      </w:pPr>
      <w:r w:rsidRPr="005B47B0">
        <w:rPr>
          <w:rFonts w:ascii="Times New Roman" w:hAnsi="Times New Roman" w:cs="Times New Roman"/>
          <w:sz w:val="24"/>
          <w:szCs w:val="24"/>
        </w:rPr>
        <w:t>Figure 4a,</w:t>
      </w:r>
      <w:r w:rsidR="005B47B0">
        <w:rPr>
          <w:rFonts w:ascii="Times New Roman" w:hAnsi="Times New Roman" w:cs="Times New Roman"/>
          <w:sz w:val="24"/>
          <w:szCs w:val="24"/>
        </w:rPr>
        <w:t xml:space="preserve"> </w:t>
      </w:r>
      <w:r w:rsidRPr="005B47B0">
        <w:rPr>
          <w:rFonts w:ascii="Times New Roman" w:hAnsi="Times New Roman" w:cs="Times New Roman"/>
          <w:sz w:val="24"/>
          <w:szCs w:val="24"/>
        </w:rPr>
        <w:t>4b,</w:t>
      </w:r>
      <w:r w:rsidR="005B47B0">
        <w:rPr>
          <w:rFonts w:ascii="Times New Roman" w:hAnsi="Times New Roman" w:cs="Times New Roman"/>
          <w:sz w:val="24"/>
          <w:szCs w:val="24"/>
        </w:rPr>
        <w:t xml:space="preserve"> </w:t>
      </w:r>
      <w:r w:rsidRPr="005B47B0">
        <w:rPr>
          <w:rFonts w:ascii="Times New Roman" w:hAnsi="Times New Roman" w:cs="Times New Roman"/>
          <w:sz w:val="24"/>
          <w:szCs w:val="24"/>
        </w:rPr>
        <w:t>4c,</w:t>
      </w:r>
      <w:r w:rsidR="005B47B0">
        <w:rPr>
          <w:rFonts w:ascii="Times New Roman" w:hAnsi="Times New Roman" w:cs="Times New Roman"/>
          <w:sz w:val="24"/>
          <w:szCs w:val="24"/>
        </w:rPr>
        <w:t xml:space="preserve"> </w:t>
      </w:r>
      <w:r w:rsidRPr="005B47B0">
        <w:rPr>
          <w:rFonts w:ascii="Times New Roman" w:hAnsi="Times New Roman" w:cs="Times New Roman"/>
          <w:sz w:val="24"/>
          <w:szCs w:val="24"/>
        </w:rPr>
        <w:t xml:space="preserve">4d </w:t>
      </w:r>
      <w:r w:rsidR="001C5706">
        <w:rPr>
          <w:rFonts w:ascii="Times New Roman" w:eastAsia="Times New Roman" w:hAnsi="Times New Roman" w:cs="Times New Roman"/>
          <w:sz w:val="24"/>
          <w:szCs w:val="24"/>
        </w:rPr>
        <w:t>shows t</w:t>
      </w:r>
      <w:r w:rsidRPr="00BF49C8">
        <w:rPr>
          <w:rFonts w:ascii="Times New Roman" w:eastAsia="Times New Roman" w:hAnsi="Times New Roman" w:cs="Times New Roman"/>
          <w:sz w:val="24"/>
          <w:szCs w:val="24"/>
        </w:rPr>
        <w:t>he simplified Mo</w:t>
      </w:r>
      <w:r w:rsidR="001C5706">
        <w:rPr>
          <w:rFonts w:ascii="Times New Roman" w:eastAsia="Times New Roman" w:hAnsi="Times New Roman" w:cs="Times New Roman"/>
          <w:sz w:val="24"/>
          <w:szCs w:val="24"/>
        </w:rPr>
        <w:t>nte Carlo spatial model and</w:t>
      </w:r>
      <w:r w:rsidRPr="00BF49C8">
        <w:rPr>
          <w:rFonts w:ascii="Times New Roman" w:eastAsia="Times New Roman" w:hAnsi="Times New Roman" w:cs="Times New Roman"/>
          <w:sz w:val="24"/>
          <w:szCs w:val="24"/>
        </w:rPr>
        <w:t xml:space="preserve"> a quantitative overview of clustered DNA damage induced by alpha-particle ionizations in nuclear DNA fragments. Across the simulated fragments, the per-fragment CSV output captured distributions of base damage, single-strand breaks (SSBs), double-strand breaks (DSBs), and secondary metrics including hydrogen bond disruption, helical stability, and structural distortion.</w:t>
      </w:r>
    </w:p>
    <w:p w:rsidR="00BF49C8" w:rsidRPr="00BF49C8" w:rsidRDefault="005B47B0" w:rsidP="00653F46">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Figure 4b gives helical stability matric for </w:t>
      </w:r>
      <w:r w:rsidR="00BF49C8" w:rsidRPr="00653F46">
        <w:rPr>
          <w:rFonts w:ascii="Times New Roman" w:eastAsia="Times New Roman" w:hAnsi="Times New Roman" w:cs="Times New Roman"/>
          <w:bCs/>
          <w:sz w:val="24"/>
          <w:szCs w:val="24"/>
        </w:rPr>
        <w:t>Base damage</w:t>
      </w:r>
      <w:r w:rsidR="00BF49C8" w:rsidRPr="00BF49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w:t>
      </w:r>
      <w:r w:rsidR="00BF49C8" w:rsidRPr="00BF49C8">
        <w:rPr>
          <w:rFonts w:ascii="Times New Roman" w:eastAsia="Times New Roman" w:hAnsi="Times New Roman" w:cs="Times New Roman"/>
          <w:sz w:val="24"/>
          <w:szCs w:val="24"/>
        </w:rPr>
        <w:t>was the most frequent lesion type, reflecting the relatively high probability of ion hits within the ~2 nm radius of base centers. The distribution of base damages per fragment followed a skewed profile, with mos</w:t>
      </w:r>
      <w:r w:rsidR="001C5706">
        <w:rPr>
          <w:rFonts w:ascii="Times New Roman" w:eastAsia="Times New Roman" w:hAnsi="Times New Roman" w:cs="Times New Roman"/>
          <w:sz w:val="24"/>
          <w:szCs w:val="24"/>
        </w:rPr>
        <w:t xml:space="preserve">t fragments experiencing low to </w:t>
      </w:r>
      <w:r w:rsidR="00BF49C8" w:rsidRPr="00BF49C8">
        <w:rPr>
          <w:rFonts w:ascii="Times New Roman" w:eastAsia="Times New Roman" w:hAnsi="Times New Roman" w:cs="Times New Roman"/>
          <w:sz w:val="24"/>
          <w:szCs w:val="24"/>
        </w:rPr>
        <w:t>moderate damage counts, but a subset showing clustered hits consistent with the high local energy deposition of alpha particles. Such clustered base lesions are of particular biological importance, as they can overwhelm base excision repair (BER) pathways and escalate into more deleterious strand breaks.</w:t>
      </w:r>
      <w:r>
        <w:rPr>
          <w:rFonts w:ascii="Times New Roman" w:eastAsia="Times New Roman" w:hAnsi="Times New Roman" w:cs="Times New Roman"/>
          <w:sz w:val="24"/>
          <w:szCs w:val="24"/>
        </w:rPr>
        <w:t xml:space="preserve"> </w:t>
      </w:r>
      <w:r w:rsidRPr="00653F46">
        <w:rPr>
          <w:rFonts w:ascii="Times New Roman" w:eastAsia="Times New Roman" w:hAnsi="Times New Roman" w:cs="Times New Roman"/>
          <w:bCs/>
          <w:sz w:val="24"/>
          <w:szCs w:val="24"/>
        </w:rPr>
        <w:t>Helical stability</w:t>
      </w:r>
      <w:r w:rsidRPr="00BF49C8">
        <w:rPr>
          <w:rFonts w:ascii="Times New Roman" w:eastAsia="Times New Roman" w:hAnsi="Times New Roman" w:cs="Times New Roman"/>
          <w:sz w:val="24"/>
          <w:szCs w:val="24"/>
        </w:rPr>
        <w:t xml:space="preserve"> metrics indicated partial loss of hydrogen-bond integrity across fragments. Fragments with multiple base damages or clustered DSBs exhibited the largest declines, highlighting the cumulative effect of lesion density on structural destabilization. Similarly, the </w:t>
      </w:r>
      <w:r w:rsidRPr="005B47B0">
        <w:rPr>
          <w:rFonts w:ascii="Times New Roman" w:eastAsia="Times New Roman" w:hAnsi="Times New Roman" w:cs="Times New Roman"/>
          <w:bCs/>
          <w:sz w:val="24"/>
          <w:szCs w:val="24"/>
        </w:rPr>
        <w:t>structural distortion metric</w:t>
      </w:r>
      <w:r w:rsidRPr="00BF49C8">
        <w:rPr>
          <w:rFonts w:ascii="Times New Roman" w:eastAsia="Times New Roman" w:hAnsi="Times New Roman" w:cs="Times New Roman"/>
          <w:sz w:val="24"/>
          <w:szCs w:val="24"/>
        </w:rPr>
        <w:t>, reflecting the extent of consecutive lesions, identified specific fragments at risk of significant topological disruption. These outputs provide a useful proxy for assessing regions prone to large-scale chromatin remodeling or replication stress</w:t>
      </w:r>
      <w:r w:rsidR="001C5706">
        <w:rPr>
          <w:rFonts w:ascii="Times New Roman" w:eastAsia="Times New Roman" w:hAnsi="Times New Roman" w:cs="Times New Roman"/>
          <w:sz w:val="24"/>
          <w:szCs w:val="24"/>
        </w:rPr>
        <w:t xml:space="preserve"> as reported by (</w:t>
      </w:r>
      <w:proofErr w:type="spellStart"/>
      <w:r w:rsidR="001C5706" w:rsidRPr="007D0D4F">
        <w:rPr>
          <w:rFonts w:ascii="Times New Roman" w:eastAsia="CharisSIL" w:hAnsi="Times New Roman" w:cs="Times New Roman"/>
          <w:sz w:val="24"/>
          <w:szCs w:val="24"/>
        </w:rPr>
        <w:t>Lagarde</w:t>
      </w:r>
      <w:proofErr w:type="spellEnd"/>
      <w:r w:rsidR="001C5706">
        <w:rPr>
          <w:rFonts w:ascii="Times New Roman" w:eastAsia="CharisSIL" w:hAnsi="Times New Roman" w:cs="Times New Roman"/>
          <w:sz w:val="24"/>
          <w:szCs w:val="24"/>
        </w:rPr>
        <w:t xml:space="preserve"> </w:t>
      </w:r>
      <w:r w:rsidR="001C5706">
        <w:rPr>
          <w:rFonts w:ascii="Times New Roman" w:eastAsia="CharisSIL" w:hAnsi="Times New Roman" w:cs="Times New Roman"/>
          <w:i/>
          <w:sz w:val="24"/>
          <w:szCs w:val="24"/>
        </w:rPr>
        <w:t>et al</w:t>
      </w:r>
      <w:r w:rsidR="001C5706">
        <w:rPr>
          <w:rFonts w:ascii="Times New Roman" w:eastAsia="CharisSIL" w:hAnsi="Times New Roman" w:cs="Times New Roman"/>
          <w:sz w:val="24"/>
          <w:szCs w:val="24"/>
        </w:rPr>
        <w:t>., 2002)</w:t>
      </w:r>
      <w:r w:rsidRPr="00BF49C8">
        <w:rPr>
          <w:rFonts w:ascii="Times New Roman" w:eastAsia="Times New Roman" w:hAnsi="Times New Roman" w:cs="Times New Roman"/>
          <w:sz w:val="24"/>
          <w:szCs w:val="24"/>
        </w:rPr>
        <w:t>.</w:t>
      </w:r>
    </w:p>
    <w:p w:rsidR="00BF49C8" w:rsidRPr="00BF49C8" w:rsidRDefault="005B47B0" w:rsidP="00653F46">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Figure 4c presented </w:t>
      </w:r>
      <w:r w:rsidR="00BF49C8" w:rsidRPr="00653F46">
        <w:rPr>
          <w:rFonts w:ascii="Times New Roman" w:eastAsia="Times New Roman" w:hAnsi="Times New Roman" w:cs="Times New Roman"/>
          <w:bCs/>
          <w:sz w:val="24"/>
          <w:szCs w:val="24"/>
        </w:rPr>
        <w:t>SSBs</w:t>
      </w:r>
      <w:r w:rsidR="00BF49C8" w:rsidRPr="00BF49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00BF49C8" w:rsidRPr="00BF49C8">
        <w:rPr>
          <w:rFonts w:ascii="Times New Roman" w:eastAsia="Times New Roman" w:hAnsi="Times New Roman" w:cs="Times New Roman"/>
          <w:sz w:val="24"/>
          <w:szCs w:val="24"/>
        </w:rPr>
        <w:t>occurred at a lower frequency than base damages, consistent with the r</w:t>
      </w:r>
      <w:r w:rsidR="001C5706">
        <w:rPr>
          <w:rFonts w:ascii="Times New Roman" w:eastAsia="Times New Roman" w:hAnsi="Times New Roman" w:cs="Times New Roman"/>
          <w:sz w:val="24"/>
          <w:szCs w:val="24"/>
        </w:rPr>
        <w:t xml:space="preserve">educed ion </w:t>
      </w:r>
      <w:r w:rsidR="00BF49C8" w:rsidRPr="00BF49C8">
        <w:rPr>
          <w:rFonts w:ascii="Times New Roman" w:eastAsia="Times New Roman" w:hAnsi="Times New Roman" w:cs="Times New Roman"/>
          <w:sz w:val="24"/>
          <w:szCs w:val="24"/>
        </w:rPr>
        <w:t xml:space="preserve">backbone interaction cross section and lower probability of strand break induction (p = 0.25). However, the distribution revealed that clustered ionizations increased the likelihood of multiple SSBs within individual fragments. Importantly, when opposing SSBs occurred within ±10 </w:t>
      </w:r>
      <w:proofErr w:type="spellStart"/>
      <w:r w:rsidR="00BF49C8" w:rsidRPr="00BF49C8">
        <w:rPr>
          <w:rFonts w:ascii="Times New Roman" w:eastAsia="Times New Roman" w:hAnsi="Times New Roman" w:cs="Times New Roman"/>
          <w:sz w:val="24"/>
          <w:szCs w:val="24"/>
        </w:rPr>
        <w:t>bp</w:t>
      </w:r>
      <w:proofErr w:type="spellEnd"/>
      <w:r w:rsidR="00BF49C8" w:rsidRPr="00BF49C8">
        <w:rPr>
          <w:rFonts w:ascii="Times New Roman" w:eastAsia="Times New Roman" w:hAnsi="Times New Roman" w:cs="Times New Roman"/>
          <w:sz w:val="24"/>
          <w:szCs w:val="24"/>
        </w:rPr>
        <w:t xml:space="preserve">, they were registered as </w:t>
      </w:r>
      <w:r w:rsidR="00BF49C8" w:rsidRPr="005B47B0">
        <w:rPr>
          <w:rFonts w:ascii="Times New Roman" w:eastAsia="Times New Roman" w:hAnsi="Times New Roman" w:cs="Times New Roman"/>
          <w:bCs/>
          <w:sz w:val="24"/>
          <w:szCs w:val="24"/>
        </w:rPr>
        <w:t>DSBs</w:t>
      </w:r>
      <w:r w:rsidR="00BF49C8" w:rsidRPr="00BF49C8">
        <w:rPr>
          <w:rFonts w:ascii="Times New Roman" w:eastAsia="Times New Roman" w:hAnsi="Times New Roman" w:cs="Times New Roman"/>
          <w:sz w:val="24"/>
          <w:szCs w:val="24"/>
        </w:rPr>
        <w:t xml:space="preserve">, which although relatively rare compared to total lesions, represent the most cytotoxic form of DNA damage. DSBs clustered within short DNA regions may serve as precursors for chromosomal aberrations, </w:t>
      </w:r>
      <w:proofErr w:type="spellStart"/>
      <w:r w:rsidR="00BF49C8" w:rsidRPr="00BF49C8">
        <w:rPr>
          <w:rFonts w:ascii="Times New Roman" w:eastAsia="Times New Roman" w:hAnsi="Times New Roman" w:cs="Times New Roman"/>
          <w:sz w:val="24"/>
          <w:szCs w:val="24"/>
        </w:rPr>
        <w:t>misrepair</w:t>
      </w:r>
      <w:proofErr w:type="spellEnd"/>
      <w:r w:rsidR="00BF49C8" w:rsidRPr="00BF49C8">
        <w:rPr>
          <w:rFonts w:ascii="Times New Roman" w:eastAsia="Times New Roman" w:hAnsi="Times New Roman" w:cs="Times New Roman"/>
          <w:sz w:val="24"/>
          <w:szCs w:val="24"/>
        </w:rPr>
        <w:t>, or apoptosis initiation.</w:t>
      </w:r>
    </w:p>
    <w:p w:rsidR="00BF49C8" w:rsidRPr="00BF49C8" w:rsidRDefault="00BF49C8" w:rsidP="00653F46">
      <w:pPr>
        <w:spacing w:before="100" w:beforeAutospacing="1" w:after="100" w:afterAutospacing="1" w:line="276" w:lineRule="auto"/>
        <w:jc w:val="both"/>
        <w:rPr>
          <w:rFonts w:ascii="Times New Roman" w:eastAsia="Times New Roman" w:hAnsi="Times New Roman" w:cs="Times New Roman"/>
          <w:sz w:val="24"/>
          <w:szCs w:val="24"/>
        </w:rPr>
      </w:pPr>
      <w:r w:rsidRPr="00BF49C8">
        <w:rPr>
          <w:rFonts w:ascii="Times New Roman" w:eastAsia="Times New Roman" w:hAnsi="Times New Roman" w:cs="Times New Roman"/>
          <w:sz w:val="24"/>
          <w:szCs w:val="24"/>
        </w:rPr>
        <w:t xml:space="preserve">Taken together, the </w:t>
      </w:r>
      <w:r w:rsidR="001C5706">
        <w:rPr>
          <w:rFonts w:ascii="Times New Roman" w:eastAsia="Times New Roman" w:hAnsi="Times New Roman" w:cs="Times New Roman"/>
          <w:sz w:val="24"/>
          <w:szCs w:val="24"/>
        </w:rPr>
        <w:t>charts</w:t>
      </w:r>
      <w:r w:rsidRPr="00BF49C8">
        <w:rPr>
          <w:rFonts w:ascii="Times New Roman" w:eastAsia="Times New Roman" w:hAnsi="Times New Roman" w:cs="Times New Roman"/>
          <w:sz w:val="24"/>
          <w:szCs w:val="24"/>
        </w:rPr>
        <w:t xml:space="preserve"> generated from the simulation illustrate the heterogeneity of radiation-induced DNA damage. While many fragments sustained minimal alterations, a significant fraction exhibited clustered lesions and reduced stability, capturing the “</w:t>
      </w:r>
      <w:r w:rsidR="001C5706" w:rsidRPr="00BF49C8">
        <w:rPr>
          <w:rFonts w:ascii="Times New Roman" w:eastAsia="Times New Roman" w:hAnsi="Times New Roman" w:cs="Times New Roman"/>
          <w:sz w:val="24"/>
          <w:szCs w:val="24"/>
        </w:rPr>
        <w:t>over dispersed</w:t>
      </w:r>
      <w:r w:rsidRPr="00BF49C8">
        <w:rPr>
          <w:rFonts w:ascii="Times New Roman" w:eastAsia="Times New Roman" w:hAnsi="Times New Roman" w:cs="Times New Roman"/>
          <w:sz w:val="24"/>
          <w:szCs w:val="24"/>
        </w:rPr>
        <w:t>” nature of alpha-particle damage. This aligns with experimental evidence that radon progeny alpha tracks produce highly localized, complex damage that differs fundamentally from sparsely ionizing radiations</w:t>
      </w:r>
      <w:r w:rsidR="001C5706">
        <w:rPr>
          <w:rFonts w:ascii="Times New Roman" w:eastAsia="Times New Roman" w:hAnsi="Times New Roman" w:cs="Times New Roman"/>
          <w:sz w:val="24"/>
          <w:szCs w:val="24"/>
        </w:rPr>
        <w:t xml:space="preserve"> (</w:t>
      </w:r>
      <w:proofErr w:type="spellStart"/>
      <w:r w:rsidR="001C5706" w:rsidRPr="007D0D4F">
        <w:rPr>
          <w:rFonts w:ascii="Times New Roman" w:eastAsia="CharisSIL" w:hAnsi="Times New Roman" w:cs="Times New Roman"/>
          <w:sz w:val="24"/>
          <w:szCs w:val="24"/>
        </w:rPr>
        <w:t>Lagarde</w:t>
      </w:r>
      <w:proofErr w:type="spellEnd"/>
      <w:r w:rsidR="001C5706">
        <w:rPr>
          <w:rFonts w:ascii="Times New Roman" w:eastAsia="CharisSIL" w:hAnsi="Times New Roman" w:cs="Times New Roman"/>
          <w:sz w:val="24"/>
          <w:szCs w:val="24"/>
        </w:rPr>
        <w:t xml:space="preserve"> </w:t>
      </w:r>
      <w:r w:rsidR="001C5706">
        <w:rPr>
          <w:rFonts w:ascii="Times New Roman" w:eastAsia="CharisSIL" w:hAnsi="Times New Roman" w:cs="Times New Roman"/>
          <w:i/>
          <w:sz w:val="24"/>
          <w:szCs w:val="24"/>
        </w:rPr>
        <w:t>et al</w:t>
      </w:r>
      <w:r w:rsidR="001C5706">
        <w:rPr>
          <w:rFonts w:ascii="Times New Roman" w:eastAsia="CharisSIL" w:hAnsi="Times New Roman" w:cs="Times New Roman"/>
          <w:sz w:val="24"/>
          <w:szCs w:val="24"/>
        </w:rPr>
        <w:t>., 2002)</w:t>
      </w:r>
      <w:r w:rsidRPr="00BF49C8">
        <w:rPr>
          <w:rFonts w:ascii="Times New Roman" w:eastAsia="Times New Roman" w:hAnsi="Times New Roman" w:cs="Times New Roman"/>
          <w:sz w:val="24"/>
          <w:szCs w:val="24"/>
        </w:rPr>
        <w:t>.</w:t>
      </w:r>
    </w:p>
    <w:p w:rsidR="00652793" w:rsidRPr="0052647D" w:rsidRDefault="00BF49C8" w:rsidP="0052647D">
      <w:pPr>
        <w:spacing w:before="100" w:beforeAutospacing="1" w:after="100" w:afterAutospacing="1" w:line="276" w:lineRule="auto"/>
        <w:jc w:val="both"/>
        <w:rPr>
          <w:rFonts w:ascii="Times New Roman" w:eastAsia="Times New Roman" w:hAnsi="Times New Roman" w:cs="Times New Roman"/>
          <w:sz w:val="24"/>
          <w:szCs w:val="24"/>
        </w:rPr>
      </w:pPr>
      <w:r w:rsidRPr="00BF49C8">
        <w:rPr>
          <w:rFonts w:ascii="Times New Roman" w:eastAsia="Times New Roman" w:hAnsi="Times New Roman" w:cs="Times New Roman"/>
          <w:sz w:val="24"/>
          <w:szCs w:val="24"/>
        </w:rPr>
        <w:lastRenderedPageBreak/>
        <w:t xml:space="preserve">It is important to note that this model is a reduced spatial abstraction rather than a full atomistic molecular dynamics representation. As such, indirect effects mediated by free radicals, sequence-specific sensitivity, nucleosome-level protection, and repair kinetics were not explicitly modeled. Nevertheless, the outputs demonstrate the feasibility of linking physical ionization patterns to biologically meaningful DNA damage metrics. The results </w:t>
      </w:r>
      <w:r w:rsidR="005B47B0">
        <w:rPr>
          <w:rFonts w:ascii="Times New Roman" w:eastAsia="Times New Roman" w:hAnsi="Times New Roman" w:cs="Times New Roman"/>
          <w:sz w:val="24"/>
          <w:szCs w:val="24"/>
        </w:rPr>
        <w:t>presented in figure 4d</w:t>
      </w:r>
      <w:r w:rsidRPr="00BF49C8">
        <w:rPr>
          <w:rFonts w:ascii="Times New Roman" w:eastAsia="Times New Roman" w:hAnsi="Times New Roman" w:cs="Times New Roman"/>
          <w:sz w:val="24"/>
          <w:szCs w:val="24"/>
        </w:rPr>
        <w:t xml:space="preserve"> incorporate</w:t>
      </w:r>
      <w:r w:rsidR="005B47B0">
        <w:rPr>
          <w:rFonts w:ascii="Times New Roman" w:eastAsia="Times New Roman" w:hAnsi="Times New Roman" w:cs="Times New Roman"/>
          <w:sz w:val="24"/>
          <w:szCs w:val="24"/>
        </w:rPr>
        <w:t>s</w:t>
      </w:r>
      <w:r w:rsidRPr="00BF49C8">
        <w:rPr>
          <w:rFonts w:ascii="Times New Roman" w:eastAsia="Times New Roman" w:hAnsi="Times New Roman" w:cs="Times New Roman"/>
          <w:sz w:val="24"/>
          <w:szCs w:val="24"/>
        </w:rPr>
        <w:t xml:space="preserve"> clustered lesion probability, structural instability, and DSB burden into biologically based dose-response (BBDR) models for radon carcinogenesis risk assessment</w:t>
      </w:r>
      <w:r w:rsidR="005B47B0">
        <w:rPr>
          <w:rFonts w:ascii="Times New Roman" w:eastAsia="Times New Roman" w:hAnsi="Times New Roman" w:cs="Times New Roman"/>
          <w:sz w:val="24"/>
          <w:szCs w:val="24"/>
        </w:rPr>
        <w:t>.</w:t>
      </w:r>
    </w:p>
    <w:p w:rsidR="0052647D" w:rsidRDefault="0052647D" w:rsidP="007A293B">
      <w:pPr>
        <w:pStyle w:val="BodyText"/>
        <w:spacing w:before="86" w:line="276" w:lineRule="auto"/>
        <w:jc w:val="both"/>
        <w:rPr>
          <w:rFonts w:ascii="Times New Roman" w:hAnsi="Times New Roman" w:cs="Times New Roman"/>
          <w:b/>
          <w:noProof/>
          <w:sz w:val="24"/>
          <w:szCs w:val="24"/>
        </w:rPr>
      </w:pPr>
    </w:p>
    <w:p w:rsidR="00BF49C8" w:rsidRDefault="00940004" w:rsidP="0052647D">
      <w:pPr>
        <w:pStyle w:val="BodyText"/>
        <w:spacing w:before="86" w:line="276" w:lineRule="auto"/>
        <w:jc w:val="center"/>
        <w:rPr>
          <w:rFonts w:ascii="Times New Roman" w:hAnsi="Times New Roman" w:cs="Times New Roman"/>
          <w:b/>
          <w:sz w:val="24"/>
          <w:szCs w:val="24"/>
        </w:rPr>
      </w:pPr>
      <w:r w:rsidRPr="00940004">
        <w:rPr>
          <w:rFonts w:ascii="Times New Roman" w:hAnsi="Times New Roman" w:cs="Times New Roman"/>
          <w:b/>
          <w:noProof/>
          <w:sz w:val="24"/>
          <w:szCs w:val="24"/>
        </w:rPr>
        <w:drawing>
          <wp:inline distT="0" distB="0" distL="0" distR="0" wp14:anchorId="6FFA9013" wp14:editId="2E12355A">
            <wp:extent cx="5607170" cy="2905987"/>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3795" t="6789" r="19577"/>
                    <a:stretch/>
                  </pic:blipFill>
                  <pic:spPr bwMode="auto">
                    <a:xfrm>
                      <a:off x="0" y="0"/>
                      <a:ext cx="5640235" cy="2923123"/>
                    </a:xfrm>
                    <a:prstGeom prst="rect">
                      <a:avLst/>
                    </a:prstGeom>
                    <a:ln>
                      <a:noFill/>
                    </a:ln>
                    <a:extLst>
                      <a:ext uri="{53640926-AAD7-44D8-BBD7-CCE9431645EC}">
                        <a14:shadowObscured xmlns:a14="http://schemas.microsoft.com/office/drawing/2010/main"/>
                      </a:ext>
                    </a:extLst>
                  </pic:spPr>
                </pic:pic>
              </a:graphicData>
            </a:graphic>
          </wp:inline>
        </w:drawing>
      </w:r>
    </w:p>
    <w:p w:rsidR="00940004" w:rsidRPr="00652793" w:rsidRDefault="005B47B0" w:rsidP="00652793">
      <w:pPr>
        <w:pStyle w:val="BodyText"/>
        <w:spacing w:before="86"/>
        <w:jc w:val="both"/>
        <w:rPr>
          <w:rFonts w:ascii="Times New Roman" w:hAnsi="Times New Roman" w:cs="Times New Roman"/>
          <w:sz w:val="24"/>
          <w:szCs w:val="24"/>
        </w:rPr>
      </w:pPr>
      <w:r w:rsidRPr="00652793">
        <w:rPr>
          <w:rFonts w:ascii="Times New Roman" w:hAnsi="Times New Roman" w:cs="Times New Roman"/>
          <w:sz w:val="24"/>
          <w:szCs w:val="24"/>
        </w:rPr>
        <w:t>Figure 5</w:t>
      </w:r>
      <w:r w:rsidR="00652793" w:rsidRPr="00652793">
        <w:rPr>
          <w:rFonts w:ascii="Times New Roman" w:hAnsi="Times New Roman" w:cs="Times New Roman"/>
          <w:sz w:val="24"/>
          <w:szCs w:val="24"/>
        </w:rPr>
        <w:t xml:space="preserve">: Illustration for the relationship between mean </w:t>
      </w:r>
      <w:proofErr w:type="spellStart"/>
      <w:r w:rsidR="00652793" w:rsidRPr="00652793">
        <w:rPr>
          <w:rFonts w:ascii="Times New Roman" w:hAnsi="Times New Roman" w:cs="Times New Roman"/>
          <w:sz w:val="24"/>
          <w:szCs w:val="24"/>
        </w:rPr>
        <w:t>misrepair</w:t>
      </w:r>
      <w:proofErr w:type="spellEnd"/>
      <w:r w:rsidR="00652793" w:rsidRPr="00652793">
        <w:rPr>
          <w:rFonts w:ascii="Times New Roman" w:hAnsi="Times New Roman" w:cs="Times New Roman"/>
          <w:sz w:val="24"/>
          <w:szCs w:val="24"/>
        </w:rPr>
        <w:t xml:space="preserve"> probability and lesion complexity</w:t>
      </w:r>
      <w:r w:rsidR="00652793">
        <w:rPr>
          <w:rFonts w:ascii="Times New Roman" w:hAnsi="Times New Roman" w:cs="Times New Roman"/>
          <w:sz w:val="24"/>
          <w:szCs w:val="24"/>
        </w:rPr>
        <w:t>.</w:t>
      </w:r>
    </w:p>
    <w:p w:rsidR="005B47B0" w:rsidRDefault="00652793" w:rsidP="00652793">
      <w:pPr>
        <w:pStyle w:val="BodyText"/>
        <w:spacing w:before="86" w:line="276" w:lineRule="auto"/>
        <w:jc w:val="both"/>
        <w:rPr>
          <w:rFonts w:ascii="Times New Roman" w:hAnsi="Times New Roman" w:cs="Times New Roman"/>
          <w:sz w:val="24"/>
          <w:szCs w:val="24"/>
        </w:rPr>
      </w:pPr>
      <w:r w:rsidRPr="00652793">
        <w:rPr>
          <w:rFonts w:ascii="Times New Roman" w:hAnsi="Times New Roman" w:cs="Times New Roman"/>
          <w:sz w:val="24"/>
          <w:szCs w:val="24"/>
        </w:rPr>
        <w:t>Figure 5</w:t>
      </w:r>
      <w:r w:rsidR="005B47B0" w:rsidRPr="00652793">
        <w:rPr>
          <w:rFonts w:ascii="Times New Roman" w:hAnsi="Times New Roman" w:cs="Times New Roman"/>
          <w:sz w:val="24"/>
          <w:szCs w:val="24"/>
        </w:rPr>
        <w:t xml:space="preserve"> illustrates the relationship between mean </w:t>
      </w:r>
      <w:proofErr w:type="spellStart"/>
      <w:r w:rsidR="005B47B0" w:rsidRPr="00652793">
        <w:rPr>
          <w:rFonts w:ascii="Times New Roman" w:hAnsi="Times New Roman" w:cs="Times New Roman"/>
          <w:sz w:val="24"/>
          <w:szCs w:val="24"/>
        </w:rPr>
        <w:t>misrepair</w:t>
      </w:r>
      <w:proofErr w:type="spellEnd"/>
      <w:r w:rsidR="005B47B0" w:rsidRPr="00652793">
        <w:rPr>
          <w:rFonts w:ascii="Times New Roman" w:hAnsi="Times New Roman" w:cs="Times New Roman"/>
          <w:sz w:val="24"/>
          <w:szCs w:val="24"/>
        </w:rPr>
        <w:t xml:space="preserve"> probability and lesion complexity, categorized into discrete complexity bins. The results show that </w:t>
      </w:r>
      <w:proofErr w:type="spellStart"/>
      <w:r w:rsidR="005B47B0" w:rsidRPr="00652793">
        <w:rPr>
          <w:rFonts w:ascii="Times New Roman" w:hAnsi="Times New Roman" w:cs="Times New Roman"/>
          <w:sz w:val="24"/>
          <w:szCs w:val="24"/>
        </w:rPr>
        <w:t>misrepair</w:t>
      </w:r>
      <w:proofErr w:type="spellEnd"/>
      <w:r w:rsidR="005B47B0" w:rsidRPr="00652793">
        <w:rPr>
          <w:rFonts w:ascii="Times New Roman" w:hAnsi="Times New Roman" w:cs="Times New Roman"/>
          <w:sz w:val="24"/>
          <w:szCs w:val="24"/>
        </w:rPr>
        <w:t xml:space="preserve"> events are not uniformly distributed across all levels of lesion complexity; instead, they are concentrated within a narrow complexity range, specifically </w:t>
      </w:r>
      <w:r w:rsidR="001C5706">
        <w:rPr>
          <w:rFonts w:ascii="Times New Roman" w:hAnsi="Times New Roman" w:cs="Times New Roman"/>
          <w:sz w:val="24"/>
          <w:szCs w:val="24"/>
        </w:rPr>
        <w:t xml:space="preserve">the bin spanning approximately from </w:t>
      </w:r>
      <w:r w:rsidR="005B47B0" w:rsidRPr="00652793">
        <w:rPr>
          <w:rFonts w:ascii="Times New Roman" w:hAnsi="Times New Roman" w:cs="Times New Roman"/>
          <w:sz w:val="24"/>
          <w:szCs w:val="24"/>
        </w:rPr>
        <w:t xml:space="preserve">0.00033 to 0.0. Within this interval, the mean </w:t>
      </w:r>
      <w:proofErr w:type="spellStart"/>
      <w:r w:rsidR="005B47B0" w:rsidRPr="00652793">
        <w:rPr>
          <w:rFonts w:ascii="Times New Roman" w:hAnsi="Times New Roman" w:cs="Times New Roman"/>
          <w:sz w:val="24"/>
          <w:szCs w:val="24"/>
        </w:rPr>
        <w:t>misrepair</w:t>
      </w:r>
      <w:proofErr w:type="spellEnd"/>
      <w:r w:rsidR="005B47B0" w:rsidRPr="00652793">
        <w:rPr>
          <w:rFonts w:ascii="Times New Roman" w:hAnsi="Times New Roman" w:cs="Times New Roman"/>
          <w:sz w:val="24"/>
          <w:szCs w:val="24"/>
        </w:rPr>
        <w:t xml:space="preserve"> probability peaks at just above 0.12, while all other bins show negligible or zero probabilities. This outcome suggests that </w:t>
      </w:r>
      <w:proofErr w:type="spellStart"/>
      <w:r w:rsidR="005B47B0" w:rsidRPr="00652793">
        <w:rPr>
          <w:rFonts w:ascii="Times New Roman" w:hAnsi="Times New Roman" w:cs="Times New Roman"/>
          <w:sz w:val="24"/>
          <w:szCs w:val="24"/>
        </w:rPr>
        <w:t>misrepair</w:t>
      </w:r>
      <w:proofErr w:type="spellEnd"/>
      <w:r w:rsidR="005B47B0" w:rsidRPr="00652793">
        <w:rPr>
          <w:rFonts w:ascii="Times New Roman" w:hAnsi="Times New Roman" w:cs="Times New Roman"/>
          <w:sz w:val="24"/>
          <w:szCs w:val="24"/>
        </w:rPr>
        <w:t xml:space="preserve"> likelihood is highly sensitive to intermediate levels of structural or chemical damage complexity, where repair machinery faces greater challenges in accurately restoring DNA integrity. Extremely low or high complexity lesions, in contrast,</w:t>
      </w:r>
      <w:r>
        <w:rPr>
          <w:rFonts w:ascii="Times New Roman" w:hAnsi="Times New Roman" w:cs="Times New Roman"/>
          <w:sz w:val="24"/>
          <w:szCs w:val="24"/>
        </w:rPr>
        <w:t xml:space="preserve"> appear less prone to </w:t>
      </w:r>
      <w:proofErr w:type="spellStart"/>
      <w:r>
        <w:rPr>
          <w:rFonts w:ascii="Times New Roman" w:hAnsi="Times New Roman" w:cs="Times New Roman"/>
          <w:sz w:val="24"/>
          <w:szCs w:val="24"/>
        </w:rPr>
        <w:t>misrepair</w:t>
      </w:r>
      <w:proofErr w:type="spellEnd"/>
      <w:r>
        <w:rPr>
          <w:rFonts w:ascii="Times New Roman" w:hAnsi="Times New Roman" w:cs="Times New Roman"/>
          <w:sz w:val="24"/>
          <w:szCs w:val="24"/>
        </w:rPr>
        <w:t xml:space="preserve"> </w:t>
      </w:r>
      <w:r w:rsidR="005B47B0" w:rsidRPr="00652793">
        <w:rPr>
          <w:rFonts w:ascii="Times New Roman" w:hAnsi="Times New Roman" w:cs="Times New Roman"/>
          <w:sz w:val="24"/>
          <w:szCs w:val="24"/>
        </w:rPr>
        <w:t>likely because simple lesions are efficiently repaired, while highly complex clusters are more likely to remain unrepaired or drive apoptotic signaling. These findings underscore the non-linear dependence of repair fidelity on damage complexity, highlighting the importance of modeling lesion characteristics rather than treating all DNA breaks as equivalent when predicting mutagenic risk from ionizing radiation exposure.</w:t>
      </w:r>
    </w:p>
    <w:p w:rsidR="00652793" w:rsidRDefault="00652793" w:rsidP="007A293B">
      <w:pPr>
        <w:pStyle w:val="BodyText"/>
        <w:spacing w:before="86" w:line="276" w:lineRule="auto"/>
        <w:jc w:val="both"/>
        <w:rPr>
          <w:rFonts w:ascii="Times New Roman" w:hAnsi="Times New Roman" w:cs="Times New Roman"/>
          <w:b/>
          <w:noProof/>
          <w:sz w:val="24"/>
          <w:szCs w:val="24"/>
        </w:rPr>
      </w:pPr>
    </w:p>
    <w:p w:rsidR="00940004" w:rsidRDefault="00940004" w:rsidP="00652793">
      <w:pPr>
        <w:pStyle w:val="BodyText"/>
        <w:spacing w:before="86" w:line="276" w:lineRule="auto"/>
        <w:jc w:val="center"/>
        <w:rPr>
          <w:rFonts w:ascii="Times New Roman" w:hAnsi="Times New Roman" w:cs="Times New Roman"/>
          <w:b/>
          <w:sz w:val="24"/>
          <w:szCs w:val="24"/>
        </w:rPr>
      </w:pPr>
      <w:r w:rsidRPr="00940004">
        <w:rPr>
          <w:rFonts w:ascii="Times New Roman" w:hAnsi="Times New Roman" w:cs="Times New Roman"/>
          <w:b/>
          <w:noProof/>
          <w:sz w:val="24"/>
          <w:szCs w:val="24"/>
        </w:rPr>
        <w:lastRenderedPageBreak/>
        <w:drawing>
          <wp:inline distT="0" distB="0" distL="0" distR="0" wp14:anchorId="3E86918D" wp14:editId="5E4EDAA4">
            <wp:extent cx="5339751" cy="25195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4659" t="11779" r="16538"/>
                    <a:stretch/>
                  </pic:blipFill>
                  <pic:spPr bwMode="auto">
                    <a:xfrm>
                      <a:off x="0" y="0"/>
                      <a:ext cx="5372175" cy="2534880"/>
                    </a:xfrm>
                    <a:prstGeom prst="rect">
                      <a:avLst/>
                    </a:prstGeom>
                    <a:ln>
                      <a:noFill/>
                    </a:ln>
                    <a:extLst>
                      <a:ext uri="{53640926-AAD7-44D8-BBD7-CCE9431645EC}">
                        <a14:shadowObscured xmlns:a14="http://schemas.microsoft.com/office/drawing/2010/main"/>
                      </a:ext>
                    </a:extLst>
                  </pic:spPr>
                </pic:pic>
              </a:graphicData>
            </a:graphic>
          </wp:inline>
        </w:drawing>
      </w:r>
    </w:p>
    <w:p w:rsidR="00940004" w:rsidRPr="00652793" w:rsidRDefault="00652793" w:rsidP="00652793">
      <w:pPr>
        <w:pStyle w:val="BodyText"/>
        <w:spacing w:before="86"/>
        <w:jc w:val="both"/>
        <w:rPr>
          <w:rFonts w:ascii="Times New Roman" w:hAnsi="Times New Roman" w:cs="Times New Roman"/>
          <w:sz w:val="24"/>
          <w:szCs w:val="24"/>
        </w:rPr>
      </w:pPr>
      <w:r w:rsidRPr="00652793">
        <w:rPr>
          <w:rFonts w:ascii="Times New Roman" w:hAnsi="Times New Roman" w:cs="Times New Roman"/>
          <w:sz w:val="24"/>
          <w:szCs w:val="24"/>
        </w:rPr>
        <w:t xml:space="preserve">Figure 6: </w:t>
      </w:r>
      <w:r w:rsidRPr="00652793">
        <w:rPr>
          <w:rStyle w:val="Emphasis"/>
          <w:rFonts w:ascii="Times New Roman" w:hAnsi="Times New Roman" w:cs="Times New Roman"/>
          <w:i w:val="0"/>
          <w:sz w:val="24"/>
          <w:szCs w:val="24"/>
        </w:rPr>
        <w:t>Classification</w:t>
      </w:r>
      <w:r w:rsidRPr="00652793">
        <w:rPr>
          <w:rStyle w:val="Emphasis"/>
          <w:rFonts w:ascii="Times New Roman" w:hAnsi="Times New Roman" w:cs="Times New Roman"/>
          <w:sz w:val="24"/>
          <w:szCs w:val="24"/>
        </w:rPr>
        <w:t xml:space="preserve"> </w:t>
      </w:r>
      <w:r w:rsidRPr="001C5706">
        <w:rPr>
          <w:rStyle w:val="Emphasis"/>
          <w:rFonts w:ascii="Times New Roman" w:hAnsi="Times New Roman" w:cs="Times New Roman"/>
          <w:i w:val="0"/>
          <w:sz w:val="24"/>
          <w:szCs w:val="24"/>
        </w:rPr>
        <w:t>counts for</w:t>
      </w:r>
      <w:r w:rsidRPr="00652793">
        <w:rPr>
          <w:rStyle w:val="Emphasis"/>
          <w:rFonts w:ascii="Times New Roman" w:hAnsi="Times New Roman" w:cs="Times New Roman"/>
          <w:sz w:val="24"/>
          <w:szCs w:val="24"/>
        </w:rPr>
        <w:t xml:space="preserve"> </w:t>
      </w:r>
      <w:r w:rsidRPr="00652793">
        <w:rPr>
          <w:rFonts w:ascii="Times New Roman" w:hAnsi="Times New Roman" w:cs="Times New Roman"/>
          <w:sz w:val="24"/>
          <w:szCs w:val="24"/>
        </w:rPr>
        <w:t xml:space="preserve">comparing fragment counts between the categories </w:t>
      </w:r>
      <w:r w:rsidRPr="00652793">
        <w:rPr>
          <w:rStyle w:val="Emphasis"/>
          <w:rFonts w:ascii="Times New Roman" w:hAnsi="Times New Roman" w:cs="Times New Roman"/>
          <w:i w:val="0"/>
          <w:sz w:val="24"/>
          <w:szCs w:val="24"/>
        </w:rPr>
        <w:t>intermediate</w:t>
      </w:r>
      <w:r w:rsidRPr="00652793">
        <w:rPr>
          <w:rFonts w:ascii="Times New Roman" w:hAnsi="Times New Roman" w:cs="Times New Roman"/>
          <w:sz w:val="24"/>
          <w:szCs w:val="24"/>
        </w:rPr>
        <w:t xml:space="preserve"> and </w:t>
      </w:r>
      <w:r>
        <w:rPr>
          <w:rStyle w:val="Emphasis"/>
          <w:rFonts w:ascii="Times New Roman" w:hAnsi="Times New Roman" w:cs="Times New Roman"/>
          <w:i w:val="0"/>
          <w:sz w:val="24"/>
          <w:szCs w:val="24"/>
        </w:rPr>
        <w:t>repair efficiency</w:t>
      </w:r>
      <w:r w:rsidRPr="00652793">
        <w:rPr>
          <w:rStyle w:val="Emphasis"/>
          <w:rFonts w:ascii="Times New Roman" w:hAnsi="Times New Roman" w:cs="Times New Roman"/>
          <w:i w:val="0"/>
          <w:sz w:val="24"/>
          <w:szCs w:val="24"/>
        </w:rPr>
        <w:t>.</w:t>
      </w:r>
    </w:p>
    <w:p w:rsidR="0093122B" w:rsidRDefault="0077559F" w:rsidP="0077559F">
      <w:pPr>
        <w:pStyle w:val="BodyText"/>
        <w:spacing w:before="86" w:line="276" w:lineRule="auto"/>
        <w:jc w:val="both"/>
        <w:rPr>
          <w:rFonts w:ascii="Times New Roman" w:hAnsi="Times New Roman" w:cs="Times New Roman"/>
          <w:sz w:val="24"/>
          <w:szCs w:val="24"/>
        </w:rPr>
      </w:pPr>
      <w:r w:rsidRPr="0077559F">
        <w:rPr>
          <w:rFonts w:ascii="Times New Roman" w:hAnsi="Times New Roman" w:cs="Times New Roman"/>
          <w:sz w:val="24"/>
          <w:szCs w:val="24"/>
        </w:rPr>
        <w:t xml:space="preserve">Figure 6 gives </w:t>
      </w:r>
      <w:r w:rsidR="00652793" w:rsidRPr="0077559F">
        <w:rPr>
          <w:rStyle w:val="Emphasis"/>
          <w:rFonts w:ascii="Times New Roman" w:hAnsi="Times New Roman" w:cs="Times New Roman"/>
          <w:i w:val="0"/>
          <w:sz w:val="24"/>
          <w:szCs w:val="24"/>
        </w:rPr>
        <w:t>Classification counts</w:t>
      </w:r>
      <w:r w:rsidR="00652793" w:rsidRPr="0077559F">
        <w:rPr>
          <w:rFonts w:ascii="Times New Roman" w:hAnsi="Times New Roman" w:cs="Times New Roman"/>
          <w:sz w:val="24"/>
          <w:szCs w:val="24"/>
        </w:rPr>
        <w:t xml:space="preserve"> </w:t>
      </w:r>
      <w:r w:rsidRPr="0077559F">
        <w:rPr>
          <w:rFonts w:ascii="Times New Roman" w:hAnsi="Times New Roman" w:cs="Times New Roman"/>
          <w:sz w:val="24"/>
          <w:szCs w:val="24"/>
        </w:rPr>
        <w:t xml:space="preserve">that </w:t>
      </w:r>
      <w:r w:rsidR="00652793" w:rsidRPr="0077559F">
        <w:rPr>
          <w:rFonts w:ascii="Times New Roman" w:hAnsi="Times New Roman" w:cs="Times New Roman"/>
          <w:sz w:val="24"/>
          <w:szCs w:val="24"/>
        </w:rPr>
        <w:t xml:space="preserve">compares fragment counts between the categories </w:t>
      </w:r>
      <w:r w:rsidR="00652793" w:rsidRPr="0077559F">
        <w:rPr>
          <w:rStyle w:val="Emphasis"/>
          <w:rFonts w:ascii="Times New Roman" w:hAnsi="Times New Roman" w:cs="Times New Roman"/>
          <w:sz w:val="24"/>
          <w:szCs w:val="24"/>
        </w:rPr>
        <w:t>intermediate</w:t>
      </w:r>
      <w:r w:rsidR="00652793" w:rsidRPr="0077559F">
        <w:rPr>
          <w:rFonts w:ascii="Times New Roman" w:hAnsi="Times New Roman" w:cs="Times New Roman"/>
          <w:sz w:val="24"/>
          <w:szCs w:val="24"/>
        </w:rPr>
        <w:t xml:space="preserve"> and </w:t>
      </w:r>
      <w:r w:rsidR="00652793" w:rsidRPr="0077559F">
        <w:rPr>
          <w:rStyle w:val="Emphasis"/>
          <w:rFonts w:ascii="Times New Roman" w:hAnsi="Times New Roman" w:cs="Times New Roman"/>
          <w:sz w:val="24"/>
          <w:szCs w:val="24"/>
        </w:rPr>
        <w:t>repair-efficient</w:t>
      </w:r>
      <w:r w:rsidR="00652793" w:rsidRPr="0077559F">
        <w:rPr>
          <w:rFonts w:ascii="Times New Roman" w:hAnsi="Times New Roman" w:cs="Times New Roman"/>
          <w:sz w:val="24"/>
          <w:szCs w:val="24"/>
        </w:rPr>
        <w:t>, each recording approximately 25 fragments, thereby indicating no substantial variation between them. This near-equal distribution suggests that the biological or experimental system under investigation does not exhibit a strong bias toward either classification, implying a balance between partially functional (</w:t>
      </w:r>
      <w:r w:rsidR="00652793" w:rsidRPr="0077559F">
        <w:rPr>
          <w:rStyle w:val="Emphasis"/>
          <w:rFonts w:ascii="Times New Roman" w:hAnsi="Times New Roman" w:cs="Times New Roman"/>
          <w:sz w:val="24"/>
          <w:szCs w:val="24"/>
        </w:rPr>
        <w:t>intermediate</w:t>
      </w:r>
      <w:r w:rsidR="00652793" w:rsidRPr="0077559F">
        <w:rPr>
          <w:rFonts w:ascii="Times New Roman" w:hAnsi="Times New Roman" w:cs="Times New Roman"/>
          <w:sz w:val="24"/>
          <w:szCs w:val="24"/>
        </w:rPr>
        <w:t>) and highly functional (</w:t>
      </w:r>
      <w:r w:rsidR="00652793" w:rsidRPr="0077559F">
        <w:rPr>
          <w:rStyle w:val="Emphasis"/>
          <w:rFonts w:ascii="Times New Roman" w:hAnsi="Times New Roman" w:cs="Times New Roman"/>
          <w:sz w:val="24"/>
          <w:szCs w:val="24"/>
        </w:rPr>
        <w:t>repair-efficient</w:t>
      </w:r>
      <w:r w:rsidR="00652793" w:rsidRPr="0077559F">
        <w:rPr>
          <w:rFonts w:ascii="Times New Roman" w:hAnsi="Times New Roman" w:cs="Times New Roman"/>
          <w:sz w:val="24"/>
          <w:szCs w:val="24"/>
        </w:rPr>
        <w:t xml:space="preserve">) states, which may reflect stability in DNA repair efficiency or related processes. While this uniformity could point to robustness in the classification framework, it also raises important methodological considerations, such as whether the criteria for categorization were stringent enough to reveal subtle differences, and whether additional categories (e.g., </w:t>
      </w:r>
      <w:r w:rsidR="00652793" w:rsidRPr="0077559F">
        <w:rPr>
          <w:rStyle w:val="Emphasis"/>
          <w:rFonts w:ascii="Times New Roman" w:hAnsi="Times New Roman" w:cs="Times New Roman"/>
          <w:sz w:val="24"/>
          <w:szCs w:val="24"/>
        </w:rPr>
        <w:t>repair-deficient</w:t>
      </w:r>
      <w:r w:rsidR="00652793" w:rsidRPr="0077559F">
        <w:rPr>
          <w:rFonts w:ascii="Times New Roman" w:hAnsi="Times New Roman" w:cs="Times New Roman"/>
          <w:sz w:val="24"/>
          <w:szCs w:val="24"/>
        </w:rPr>
        <w:t>) or molecular markers should be explored to uncover hidden heterogeneity. Although the visualization effectively demonstrates the similarity between groups, the absence of error bars or confidence intervals limits interpretability, emphasizing the need for statistical analyses (e.g., Chi-square or Fisher’s exact test) to confirm whether the observed similarity is meaningful. Consequently, the findings highlight a balanced system but call for further investigation across different experimental conditions to fully elucidate their biological significance.</w:t>
      </w:r>
    </w:p>
    <w:p w:rsidR="0077559F" w:rsidRDefault="0077559F" w:rsidP="007A293B">
      <w:pPr>
        <w:pStyle w:val="BodyText"/>
        <w:spacing w:before="86" w:line="276" w:lineRule="auto"/>
        <w:jc w:val="both"/>
        <w:rPr>
          <w:rFonts w:ascii="Times New Roman" w:hAnsi="Times New Roman" w:cs="Times New Roman"/>
          <w:b/>
          <w:noProof/>
          <w:sz w:val="24"/>
          <w:szCs w:val="24"/>
        </w:rPr>
      </w:pPr>
    </w:p>
    <w:p w:rsidR="0093122B" w:rsidRDefault="0093122B" w:rsidP="0077559F">
      <w:pPr>
        <w:pStyle w:val="BodyText"/>
        <w:spacing w:before="86" w:line="276" w:lineRule="auto"/>
        <w:jc w:val="center"/>
        <w:rPr>
          <w:rFonts w:ascii="Times New Roman" w:hAnsi="Times New Roman" w:cs="Times New Roman"/>
          <w:b/>
          <w:sz w:val="24"/>
          <w:szCs w:val="24"/>
        </w:rPr>
      </w:pPr>
      <w:r w:rsidRPr="0093122B">
        <w:rPr>
          <w:rFonts w:ascii="Times New Roman" w:hAnsi="Times New Roman" w:cs="Times New Roman"/>
          <w:b/>
          <w:noProof/>
          <w:sz w:val="24"/>
          <w:szCs w:val="24"/>
        </w:rPr>
        <w:lastRenderedPageBreak/>
        <w:drawing>
          <wp:inline distT="0" distB="0" distL="0" distR="0" wp14:anchorId="07D4E9BA" wp14:editId="6C17739B">
            <wp:extent cx="5753819" cy="2519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0451" t="6407" r="14071"/>
                    <a:stretch/>
                  </pic:blipFill>
                  <pic:spPr bwMode="auto">
                    <a:xfrm>
                      <a:off x="0" y="0"/>
                      <a:ext cx="5758530" cy="2521743"/>
                    </a:xfrm>
                    <a:prstGeom prst="rect">
                      <a:avLst/>
                    </a:prstGeom>
                    <a:ln>
                      <a:noFill/>
                    </a:ln>
                    <a:extLst>
                      <a:ext uri="{53640926-AAD7-44D8-BBD7-CCE9431645EC}">
                        <a14:shadowObscured xmlns:a14="http://schemas.microsoft.com/office/drawing/2010/main"/>
                      </a:ext>
                    </a:extLst>
                  </pic:spPr>
                </pic:pic>
              </a:graphicData>
            </a:graphic>
          </wp:inline>
        </w:drawing>
      </w:r>
    </w:p>
    <w:p w:rsidR="0093122B" w:rsidRPr="0077559F" w:rsidRDefault="0093122B" w:rsidP="007A293B">
      <w:pPr>
        <w:pStyle w:val="BodyText"/>
        <w:spacing w:before="86" w:line="276" w:lineRule="auto"/>
        <w:jc w:val="both"/>
        <w:rPr>
          <w:rFonts w:ascii="Times New Roman" w:hAnsi="Times New Roman" w:cs="Times New Roman"/>
          <w:sz w:val="24"/>
          <w:szCs w:val="24"/>
        </w:rPr>
      </w:pPr>
      <w:r w:rsidRPr="0077559F">
        <w:rPr>
          <w:rFonts w:ascii="Times New Roman" w:hAnsi="Times New Roman" w:cs="Times New Roman"/>
          <w:sz w:val="24"/>
          <w:szCs w:val="24"/>
        </w:rPr>
        <w:t>Figure 7a</w:t>
      </w:r>
      <w:r w:rsidR="0077559F">
        <w:rPr>
          <w:rFonts w:ascii="Times New Roman" w:hAnsi="Times New Roman" w:cs="Times New Roman"/>
          <w:sz w:val="24"/>
          <w:szCs w:val="24"/>
        </w:rPr>
        <w:t xml:space="preserve">: Cell fate distribution for </w:t>
      </w:r>
      <w:r w:rsidR="0077559F" w:rsidRPr="0077559F">
        <w:rPr>
          <w:rFonts w:ascii="Times New Roman" w:hAnsi="Times New Roman" w:cs="Times New Roman"/>
          <w:sz w:val="24"/>
          <w:szCs w:val="24"/>
        </w:rPr>
        <w:t>relative frequencies of three distinct cellular outcomes</w:t>
      </w:r>
      <w:r w:rsidR="0077559F">
        <w:rPr>
          <w:rFonts w:ascii="Times New Roman" w:hAnsi="Times New Roman" w:cs="Times New Roman"/>
          <w:sz w:val="24"/>
          <w:szCs w:val="24"/>
        </w:rPr>
        <w:t>.</w:t>
      </w:r>
    </w:p>
    <w:p w:rsidR="0093122B" w:rsidRPr="0077559F" w:rsidRDefault="0077559F" w:rsidP="0077559F">
      <w:pPr>
        <w:pStyle w:val="BodyText"/>
        <w:spacing w:before="86" w:line="276" w:lineRule="auto"/>
        <w:jc w:val="both"/>
        <w:rPr>
          <w:rFonts w:ascii="Times New Roman" w:hAnsi="Times New Roman" w:cs="Times New Roman"/>
          <w:b/>
          <w:sz w:val="24"/>
          <w:szCs w:val="24"/>
        </w:rPr>
      </w:pPr>
      <w:r w:rsidRPr="0077559F">
        <w:rPr>
          <w:rFonts w:ascii="Times New Roman" w:hAnsi="Times New Roman" w:cs="Times New Roman"/>
          <w:sz w:val="24"/>
          <w:szCs w:val="24"/>
        </w:rPr>
        <w:t xml:space="preserve">Figure 7a is </w:t>
      </w:r>
      <w:r w:rsidRPr="0077559F">
        <w:rPr>
          <w:rStyle w:val="Emphasis"/>
          <w:rFonts w:ascii="Times New Roman" w:hAnsi="Times New Roman" w:cs="Times New Roman"/>
          <w:i w:val="0"/>
          <w:sz w:val="24"/>
          <w:szCs w:val="24"/>
        </w:rPr>
        <w:t xml:space="preserve">Cell fate distribution that </w:t>
      </w:r>
      <w:r w:rsidRPr="0077559F">
        <w:rPr>
          <w:rFonts w:ascii="Times New Roman" w:hAnsi="Times New Roman" w:cs="Times New Roman"/>
          <w:sz w:val="24"/>
          <w:szCs w:val="24"/>
        </w:rPr>
        <w:t xml:space="preserve">illustrates the relative frequencies of three distinct cellular outcomes: </w:t>
      </w:r>
      <w:r w:rsidRPr="0077559F">
        <w:rPr>
          <w:rStyle w:val="Emphasis"/>
          <w:rFonts w:ascii="Times New Roman" w:hAnsi="Times New Roman" w:cs="Times New Roman"/>
          <w:sz w:val="24"/>
          <w:szCs w:val="24"/>
        </w:rPr>
        <w:t>senescent</w:t>
      </w:r>
      <w:r w:rsidRPr="0077559F">
        <w:rPr>
          <w:rFonts w:ascii="Times New Roman" w:hAnsi="Times New Roman" w:cs="Times New Roman"/>
          <w:sz w:val="24"/>
          <w:szCs w:val="24"/>
        </w:rPr>
        <w:t xml:space="preserve">, </w:t>
      </w:r>
      <w:r w:rsidRPr="0077559F">
        <w:rPr>
          <w:rStyle w:val="Emphasis"/>
          <w:rFonts w:ascii="Times New Roman" w:hAnsi="Times New Roman" w:cs="Times New Roman"/>
          <w:sz w:val="24"/>
          <w:szCs w:val="24"/>
        </w:rPr>
        <w:t>survive mutated</w:t>
      </w:r>
      <w:r w:rsidRPr="0077559F">
        <w:rPr>
          <w:rFonts w:ascii="Times New Roman" w:hAnsi="Times New Roman" w:cs="Times New Roman"/>
          <w:sz w:val="24"/>
          <w:szCs w:val="24"/>
        </w:rPr>
        <w:t xml:space="preserve">, and </w:t>
      </w:r>
      <w:r w:rsidRPr="0077559F">
        <w:rPr>
          <w:rStyle w:val="Emphasis"/>
          <w:rFonts w:ascii="Times New Roman" w:hAnsi="Times New Roman" w:cs="Times New Roman"/>
          <w:sz w:val="24"/>
          <w:szCs w:val="24"/>
        </w:rPr>
        <w:t>transformed</w:t>
      </w:r>
      <w:r w:rsidRPr="0077559F">
        <w:rPr>
          <w:rFonts w:ascii="Times New Roman" w:hAnsi="Times New Roman" w:cs="Times New Roman"/>
          <w:sz w:val="24"/>
          <w:szCs w:val="24"/>
        </w:rPr>
        <w:t xml:space="preserve">. The data reveal that the majority of cells, exceeding 500 in count, adopt a senescent fate, highlighting cellular aging and growth arrest as the dominant response. A smaller but notable population of approximately 280 cells falls under </w:t>
      </w:r>
      <w:proofErr w:type="gramStart"/>
      <w:r w:rsidRPr="0077559F">
        <w:rPr>
          <w:rFonts w:ascii="Times New Roman" w:hAnsi="Times New Roman" w:cs="Times New Roman"/>
          <w:sz w:val="24"/>
          <w:szCs w:val="24"/>
        </w:rPr>
        <w:t xml:space="preserve">the </w:t>
      </w:r>
      <w:r w:rsidRPr="0077559F">
        <w:rPr>
          <w:rStyle w:val="Emphasis"/>
          <w:rFonts w:ascii="Times New Roman" w:hAnsi="Times New Roman" w:cs="Times New Roman"/>
          <w:sz w:val="24"/>
          <w:szCs w:val="24"/>
        </w:rPr>
        <w:t>survive</w:t>
      </w:r>
      <w:proofErr w:type="gramEnd"/>
      <w:r w:rsidRPr="0077559F">
        <w:rPr>
          <w:rStyle w:val="Emphasis"/>
          <w:rFonts w:ascii="Times New Roman" w:hAnsi="Times New Roman" w:cs="Times New Roman"/>
          <w:sz w:val="24"/>
          <w:szCs w:val="24"/>
        </w:rPr>
        <w:t xml:space="preserve"> mutated</w:t>
      </w:r>
      <w:r w:rsidRPr="0077559F">
        <w:rPr>
          <w:rFonts w:ascii="Times New Roman" w:hAnsi="Times New Roman" w:cs="Times New Roman"/>
          <w:sz w:val="24"/>
          <w:szCs w:val="24"/>
        </w:rPr>
        <w:t xml:space="preserve"> category, indicating cells that withstand damage but acquire mutations, which could have long-term consequences for genomic integrity and disease development. The least represented category, with fewer than 200 cells, is </w:t>
      </w:r>
      <w:r w:rsidRPr="0077559F">
        <w:rPr>
          <w:rStyle w:val="Emphasis"/>
          <w:rFonts w:ascii="Times New Roman" w:hAnsi="Times New Roman" w:cs="Times New Roman"/>
          <w:sz w:val="24"/>
          <w:szCs w:val="24"/>
        </w:rPr>
        <w:t>transformed</w:t>
      </w:r>
      <w:r w:rsidRPr="0077559F">
        <w:rPr>
          <w:rFonts w:ascii="Times New Roman" w:hAnsi="Times New Roman" w:cs="Times New Roman"/>
          <w:sz w:val="24"/>
          <w:szCs w:val="24"/>
        </w:rPr>
        <w:t>, signifying progression to a malignant or aberrant phenotype, albeit at a lower frequency compared to other outcomes. This distribution suggests that while senescence acts as the primary protective barrier against unchecked proliferation, a significant fraction of cells evade this fate and instead persist with mutations or undergo transformation, outcomes that bear relevance for cancer initiation and progression. The data also imply that the balance between senescence and survival with mutation is crucial for understanding tissue homeostasis and oncogenic risk. Although the visualization effectively conveys this trend, further statistical analysis and inclusion of error measures would strengthen interpretability. Overall, the results underscore the predominance of senescence in cell fate decisions while drawing attention to the smaller, yet biologically significant, populations of mutated survivors and transformed cells</w:t>
      </w:r>
    </w:p>
    <w:p w:rsidR="00DE376F" w:rsidRDefault="00DE376F" w:rsidP="007A293B">
      <w:pPr>
        <w:pStyle w:val="BodyText"/>
        <w:spacing w:before="86" w:line="276" w:lineRule="auto"/>
        <w:jc w:val="both"/>
        <w:rPr>
          <w:rFonts w:ascii="Times New Roman" w:hAnsi="Times New Roman" w:cs="Times New Roman"/>
          <w:b/>
          <w:noProof/>
          <w:sz w:val="24"/>
          <w:szCs w:val="24"/>
        </w:rPr>
      </w:pPr>
    </w:p>
    <w:p w:rsidR="0093122B" w:rsidRDefault="0093122B" w:rsidP="00DE376F">
      <w:pPr>
        <w:pStyle w:val="BodyText"/>
        <w:spacing w:before="86" w:line="276" w:lineRule="auto"/>
        <w:jc w:val="center"/>
        <w:rPr>
          <w:rFonts w:ascii="Times New Roman" w:hAnsi="Times New Roman" w:cs="Times New Roman"/>
          <w:b/>
          <w:sz w:val="24"/>
          <w:szCs w:val="24"/>
        </w:rPr>
      </w:pPr>
      <w:r w:rsidRPr="0093122B">
        <w:rPr>
          <w:rFonts w:ascii="Times New Roman" w:hAnsi="Times New Roman" w:cs="Times New Roman"/>
          <w:b/>
          <w:noProof/>
          <w:sz w:val="24"/>
          <w:szCs w:val="24"/>
        </w:rPr>
        <w:lastRenderedPageBreak/>
        <w:drawing>
          <wp:inline distT="0" distB="0" distL="0" distR="0" wp14:anchorId="52E43F90" wp14:editId="47F23CD5">
            <wp:extent cx="5702060" cy="27324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1321" t="5658" r="10159"/>
                    <a:stretch/>
                  </pic:blipFill>
                  <pic:spPr bwMode="auto">
                    <a:xfrm>
                      <a:off x="0" y="0"/>
                      <a:ext cx="5714596" cy="2738412"/>
                    </a:xfrm>
                    <a:prstGeom prst="rect">
                      <a:avLst/>
                    </a:prstGeom>
                    <a:ln>
                      <a:noFill/>
                    </a:ln>
                    <a:extLst>
                      <a:ext uri="{53640926-AAD7-44D8-BBD7-CCE9431645EC}">
                        <a14:shadowObscured xmlns:a14="http://schemas.microsoft.com/office/drawing/2010/main"/>
                      </a:ext>
                    </a:extLst>
                  </pic:spPr>
                </pic:pic>
              </a:graphicData>
            </a:graphic>
          </wp:inline>
        </w:drawing>
      </w:r>
    </w:p>
    <w:p w:rsidR="0093122B" w:rsidRDefault="00DE376F" w:rsidP="007A293B">
      <w:pPr>
        <w:pStyle w:val="BodyText"/>
        <w:spacing w:before="86" w:line="276" w:lineRule="auto"/>
        <w:jc w:val="both"/>
        <w:rPr>
          <w:rFonts w:ascii="Times New Roman" w:hAnsi="Times New Roman" w:cs="Times New Roman"/>
          <w:sz w:val="24"/>
          <w:szCs w:val="24"/>
        </w:rPr>
      </w:pPr>
      <w:r>
        <w:rPr>
          <w:rFonts w:ascii="Times New Roman" w:hAnsi="Times New Roman" w:cs="Times New Roman"/>
          <w:sz w:val="24"/>
          <w:szCs w:val="24"/>
        </w:rPr>
        <w:t xml:space="preserve">Figure 7b: </w:t>
      </w:r>
      <w:r w:rsidRPr="00DE376F">
        <w:rPr>
          <w:rStyle w:val="Emphasis"/>
          <w:rFonts w:ascii="Times New Roman" w:hAnsi="Times New Roman" w:cs="Times New Roman"/>
          <w:i w:val="0"/>
          <w:sz w:val="24"/>
          <w:szCs w:val="24"/>
        </w:rPr>
        <w:t xml:space="preserve">Mutation accumulation </w:t>
      </w:r>
      <w:r>
        <w:rPr>
          <w:rStyle w:val="Emphasis"/>
          <w:rFonts w:ascii="Times New Roman" w:hAnsi="Times New Roman" w:cs="Times New Roman"/>
          <w:i w:val="0"/>
          <w:sz w:val="24"/>
          <w:szCs w:val="24"/>
        </w:rPr>
        <w:t xml:space="preserve">and distribution </w:t>
      </w:r>
      <w:r w:rsidRPr="00DE376F">
        <w:rPr>
          <w:rStyle w:val="Emphasis"/>
          <w:rFonts w:ascii="Times New Roman" w:hAnsi="Times New Roman" w:cs="Times New Roman"/>
          <w:i w:val="0"/>
          <w:sz w:val="24"/>
          <w:szCs w:val="24"/>
        </w:rPr>
        <w:t>across cells</w:t>
      </w:r>
      <w:r>
        <w:rPr>
          <w:rStyle w:val="Emphasis"/>
          <w:rFonts w:ascii="Times New Roman" w:hAnsi="Times New Roman" w:cs="Times New Roman"/>
          <w:i w:val="0"/>
          <w:sz w:val="24"/>
          <w:szCs w:val="24"/>
        </w:rPr>
        <w:t xml:space="preserve"> </w:t>
      </w:r>
      <w:proofErr w:type="spellStart"/>
      <w:r w:rsidRPr="00DE376F">
        <w:rPr>
          <w:rFonts w:ascii="Times New Roman" w:hAnsi="Times New Roman" w:cs="Times New Roman"/>
          <w:sz w:val="24"/>
          <w:szCs w:val="24"/>
        </w:rPr>
        <w:t>misrepairs</w:t>
      </w:r>
      <w:proofErr w:type="spellEnd"/>
      <w:r>
        <w:rPr>
          <w:rFonts w:ascii="Times New Roman" w:hAnsi="Times New Roman" w:cs="Times New Roman"/>
          <w:sz w:val="24"/>
          <w:szCs w:val="24"/>
        </w:rPr>
        <w:t>.</w:t>
      </w:r>
    </w:p>
    <w:p w:rsidR="00DE376F" w:rsidRPr="00DE376F" w:rsidRDefault="00DE376F" w:rsidP="007A293B">
      <w:pPr>
        <w:pStyle w:val="BodyText"/>
        <w:spacing w:before="86" w:line="276" w:lineRule="auto"/>
        <w:jc w:val="both"/>
        <w:rPr>
          <w:rFonts w:ascii="Times New Roman" w:hAnsi="Times New Roman" w:cs="Times New Roman"/>
          <w:sz w:val="24"/>
          <w:szCs w:val="24"/>
        </w:rPr>
      </w:pPr>
      <w:r w:rsidRPr="00DE376F">
        <w:rPr>
          <w:rFonts w:ascii="Times New Roman" w:hAnsi="Times New Roman" w:cs="Times New Roman"/>
          <w:sz w:val="24"/>
          <w:szCs w:val="24"/>
        </w:rPr>
        <w:t xml:space="preserve">Figure 7b gives </w:t>
      </w:r>
      <w:r w:rsidRPr="00DE376F">
        <w:rPr>
          <w:rStyle w:val="Emphasis"/>
          <w:rFonts w:ascii="Times New Roman" w:hAnsi="Times New Roman" w:cs="Times New Roman"/>
          <w:i w:val="0"/>
          <w:sz w:val="24"/>
          <w:szCs w:val="24"/>
        </w:rPr>
        <w:t>Mutation accumulation across cells that</w:t>
      </w:r>
      <w:r w:rsidRPr="00DE376F">
        <w:rPr>
          <w:rFonts w:ascii="Times New Roman" w:hAnsi="Times New Roman" w:cs="Times New Roman"/>
          <w:sz w:val="24"/>
          <w:szCs w:val="24"/>
        </w:rPr>
        <w:t xml:space="preserve"> illustrates the distribution of mutation counts (</w:t>
      </w:r>
      <w:proofErr w:type="spellStart"/>
      <w:r w:rsidRPr="00DE376F">
        <w:rPr>
          <w:rFonts w:ascii="Times New Roman" w:hAnsi="Times New Roman" w:cs="Times New Roman"/>
          <w:sz w:val="24"/>
          <w:szCs w:val="24"/>
        </w:rPr>
        <w:t>misrepairs</w:t>
      </w:r>
      <w:proofErr w:type="spellEnd"/>
      <w:r w:rsidRPr="00DE376F">
        <w:rPr>
          <w:rFonts w:ascii="Times New Roman" w:hAnsi="Times New Roman" w:cs="Times New Roman"/>
          <w:sz w:val="24"/>
          <w:szCs w:val="24"/>
        </w:rPr>
        <w:t>) per surviving cell. The data exhibit a roughly bell-shaped pattern, peaking at around 7–8 mutations, where more than 160 cells are represented, indicating that this range is the most frequent mutational burden among surviving cells. Fewer cells fall at the extremes, with very low mutation counts (0–2) and very high counts (15–18) being rare, suggesting that most cells cluster around a moderate level of mutational accumulation. This distribution implies a quasi-normal trend, reflecting that while the repair machinery may function to limit extensive damage, errors in repair remain sufficiently common to produce a central tendency of mutations across the population. The presence of a tail toward higher mutation counts highlights that a subset of cells may accumulate extensive genomic alterations, which could increase the risk of malignant transformation or other pathological outcomes. Conversely, the small number of cells with near-zero mutations suggests that perfectly error-free repair is uncommon under the studied conditions. Overall, the figure underscores the balance between repair fidelity and error-prone repair mechanisms, revealing that the majority of cells harbor an intermediate mutational load, with potential implications for genomic stability, evolutionary selection, and disease risk.</w:t>
      </w:r>
    </w:p>
    <w:p w:rsidR="00EA2DAD" w:rsidRDefault="00EA2DAD" w:rsidP="007A293B">
      <w:pPr>
        <w:pStyle w:val="BodyText"/>
        <w:spacing w:before="86" w:line="276" w:lineRule="auto"/>
        <w:jc w:val="both"/>
        <w:rPr>
          <w:rFonts w:ascii="Times New Roman" w:hAnsi="Times New Roman" w:cs="Times New Roman"/>
          <w:b/>
          <w:noProof/>
          <w:sz w:val="24"/>
          <w:szCs w:val="24"/>
        </w:rPr>
      </w:pPr>
    </w:p>
    <w:p w:rsidR="0093122B" w:rsidRDefault="0093122B" w:rsidP="00EA2DAD">
      <w:pPr>
        <w:pStyle w:val="BodyText"/>
        <w:spacing w:before="86" w:line="276" w:lineRule="auto"/>
        <w:jc w:val="center"/>
        <w:rPr>
          <w:rFonts w:ascii="Times New Roman" w:hAnsi="Times New Roman" w:cs="Times New Roman"/>
          <w:b/>
          <w:sz w:val="24"/>
          <w:szCs w:val="24"/>
        </w:rPr>
      </w:pPr>
      <w:r w:rsidRPr="0093122B">
        <w:rPr>
          <w:rFonts w:ascii="Times New Roman" w:hAnsi="Times New Roman" w:cs="Times New Roman"/>
          <w:b/>
          <w:noProof/>
          <w:sz w:val="24"/>
          <w:szCs w:val="24"/>
        </w:rPr>
        <w:lastRenderedPageBreak/>
        <w:drawing>
          <wp:inline distT="0" distB="0" distL="0" distR="0" wp14:anchorId="346E823F" wp14:editId="5B1C4EFE">
            <wp:extent cx="5986732" cy="28689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0595" r="8418"/>
                    <a:stretch/>
                  </pic:blipFill>
                  <pic:spPr bwMode="auto">
                    <a:xfrm>
                      <a:off x="0" y="0"/>
                      <a:ext cx="5995987" cy="2873365"/>
                    </a:xfrm>
                    <a:prstGeom prst="rect">
                      <a:avLst/>
                    </a:prstGeom>
                    <a:ln>
                      <a:noFill/>
                    </a:ln>
                    <a:extLst>
                      <a:ext uri="{53640926-AAD7-44D8-BBD7-CCE9431645EC}">
                        <a14:shadowObscured xmlns:a14="http://schemas.microsoft.com/office/drawing/2010/main"/>
                      </a:ext>
                    </a:extLst>
                  </pic:spPr>
                </pic:pic>
              </a:graphicData>
            </a:graphic>
          </wp:inline>
        </w:drawing>
      </w:r>
    </w:p>
    <w:p w:rsidR="0077559F" w:rsidRDefault="00CC06D0" w:rsidP="0077559F">
      <w:pPr>
        <w:spacing w:after="0" w:line="240" w:lineRule="auto"/>
        <w:jc w:val="both"/>
        <w:rPr>
          <w:rFonts w:ascii="Times New Roman" w:eastAsia="Times New Roman" w:hAnsi="Times New Roman" w:cs="Times New Roman"/>
          <w:sz w:val="24"/>
          <w:szCs w:val="24"/>
        </w:rPr>
      </w:pPr>
      <w:r w:rsidRPr="0077559F">
        <w:rPr>
          <w:rFonts w:ascii="Times New Roman" w:eastAsia="Times New Roman" w:hAnsi="Times New Roman" w:cs="Times New Roman"/>
          <w:bCs/>
          <w:sz w:val="24"/>
          <w:szCs w:val="24"/>
        </w:rPr>
        <w:t>Figure 7c. Radial distribution of ionizations from an alpha-particle track in the lung cell nucleus.</w:t>
      </w:r>
      <w:r w:rsidRPr="00CC06D0">
        <w:rPr>
          <w:rFonts w:ascii="Times New Roman" w:eastAsia="Times New Roman" w:hAnsi="Times New Roman" w:cs="Times New Roman"/>
          <w:sz w:val="24"/>
          <w:szCs w:val="24"/>
        </w:rPr>
        <w:br/>
      </w:r>
    </w:p>
    <w:p w:rsidR="00CC06D0" w:rsidRPr="0077559F" w:rsidRDefault="0077559F" w:rsidP="00EA2DAD">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Figure 7c provides </w:t>
      </w:r>
      <w:r w:rsidR="00CC06D0" w:rsidRPr="00CC06D0">
        <w:rPr>
          <w:rFonts w:ascii="Times New Roman" w:eastAsia="Times New Roman" w:hAnsi="Times New Roman" w:cs="Times New Roman"/>
          <w:sz w:val="24"/>
          <w:szCs w:val="24"/>
        </w:rPr>
        <w:t xml:space="preserve">ionization counts as a function of radial distance from the track core. A sharp peak near 1.8–2.0 </w:t>
      </w:r>
      <w:proofErr w:type="spellStart"/>
      <w:r w:rsidR="00CC06D0" w:rsidRPr="00CC06D0">
        <w:rPr>
          <w:rFonts w:ascii="Times New Roman" w:eastAsia="Times New Roman" w:hAnsi="Times New Roman" w:cs="Times New Roman"/>
          <w:sz w:val="24"/>
          <w:szCs w:val="24"/>
        </w:rPr>
        <w:t>μm</w:t>
      </w:r>
      <w:proofErr w:type="spellEnd"/>
      <w:r w:rsidR="00CC06D0" w:rsidRPr="00CC06D0">
        <w:rPr>
          <w:rFonts w:ascii="Times New Roman" w:eastAsia="Times New Roman" w:hAnsi="Times New Roman" w:cs="Times New Roman"/>
          <w:sz w:val="24"/>
          <w:szCs w:val="24"/>
        </w:rPr>
        <w:t xml:space="preserve"> corresponds to dense ionization clustering within the core, while the gradual decrease at larger radii reflects the contribution of secondary delta-ray electrons forming the track penumbra.</w:t>
      </w:r>
      <w:r w:rsidR="00652793">
        <w:rPr>
          <w:rFonts w:ascii="Times New Roman" w:eastAsia="Times New Roman" w:hAnsi="Times New Roman" w:cs="Times New Roman"/>
          <w:sz w:val="24"/>
          <w:szCs w:val="24"/>
        </w:rPr>
        <w:t xml:space="preserve"> </w:t>
      </w:r>
      <w:r w:rsidR="00CC06D0" w:rsidRPr="00CC06D0">
        <w:rPr>
          <w:rFonts w:ascii="Times New Roman" w:eastAsia="Times New Roman" w:hAnsi="Times New Roman" w:cs="Times New Roman"/>
          <w:sz w:val="24"/>
          <w:szCs w:val="24"/>
        </w:rPr>
        <w:t xml:space="preserve">The radial distribution of ionizations highlights the track-structure nature of alpha-particle energy deposition. The pronounced peak at ~2 </w:t>
      </w:r>
      <w:proofErr w:type="spellStart"/>
      <w:r w:rsidR="00CC06D0" w:rsidRPr="00CC06D0">
        <w:rPr>
          <w:rFonts w:ascii="Times New Roman" w:eastAsia="Times New Roman" w:hAnsi="Times New Roman" w:cs="Times New Roman"/>
          <w:sz w:val="24"/>
          <w:szCs w:val="24"/>
        </w:rPr>
        <w:t>μm</w:t>
      </w:r>
      <w:proofErr w:type="spellEnd"/>
      <w:r w:rsidR="00CC06D0" w:rsidRPr="00CC06D0">
        <w:rPr>
          <w:rFonts w:ascii="Times New Roman" w:eastAsia="Times New Roman" w:hAnsi="Times New Roman" w:cs="Times New Roman"/>
          <w:sz w:val="24"/>
          <w:szCs w:val="24"/>
        </w:rPr>
        <w:t xml:space="preserve"> indicates the core region where ionizations are tightly concentrated, giving rise to highly complex DNA lesions, including clustered double-strand breaks, which are particularly challenging for repair machinery and prone to </w:t>
      </w:r>
      <w:proofErr w:type="spellStart"/>
      <w:r w:rsidR="00CC06D0" w:rsidRPr="00CC06D0">
        <w:rPr>
          <w:rFonts w:ascii="Times New Roman" w:eastAsia="Times New Roman" w:hAnsi="Times New Roman" w:cs="Times New Roman"/>
          <w:sz w:val="24"/>
          <w:szCs w:val="24"/>
        </w:rPr>
        <w:t>misrepair</w:t>
      </w:r>
      <w:proofErr w:type="spellEnd"/>
      <w:r w:rsidR="00CC06D0" w:rsidRPr="00CC06D0">
        <w:rPr>
          <w:rFonts w:ascii="Times New Roman" w:eastAsia="Times New Roman" w:hAnsi="Times New Roman" w:cs="Times New Roman"/>
          <w:sz w:val="24"/>
          <w:szCs w:val="24"/>
        </w:rPr>
        <w:t xml:space="preserve">. In contrast, the extended tail toward larger radii represents the penumbra region, dominated by sparser ionizations from delta-ray electrons that predominantly yield isolated lesions such as single-strand breaks or base damage, which are more amenable to repair. Biologically, this spatial heterogeneity underscores why alpha radiation induces disproportionately severe biological effects compared to low-linear energy transfer (LET) radiations: while the core generates lethal or transformation-prone lesions, the penumbra contributes to mutation accumulation over time. Incorporating such </w:t>
      </w:r>
      <w:proofErr w:type="spellStart"/>
      <w:r w:rsidR="00CC06D0" w:rsidRPr="00CC06D0">
        <w:rPr>
          <w:rFonts w:ascii="Times New Roman" w:eastAsia="Times New Roman" w:hAnsi="Times New Roman" w:cs="Times New Roman"/>
          <w:sz w:val="24"/>
          <w:szCs w:val="24"/>
        </w:rPr>
        <w:t>microdosimetric</w:t>
      </w:r>
      <w:proofErr w:type="spellEnd"/>
      <w:r w:rsidR="00CC06D0" w:rsidRPr="00CC06D0">
        <w:rPr>
          <w:rFonts w:ascii="Times New Roman" w:eastAsia="Times New Roman" w:hAnsi="Times New Roman" w:cs="Times New Roman"/>
          <w:sz w:val="24"/>
          <w:szCs w:val="24"/>
        </w:rPr>
        <w:t xml:space="preserve"> patterns into biologically based dose-response (BBDR) models provides a mechanistic bridge between subcellular damage distributions and epidemiologically observed lung cancer risk from radon exposure.</w:t>
      </w:r>
    </w:p>
    <w:p w:rsidR="0093122B" w:rsidRDefault="00EA2DAD" w:rsidP="007A293B">
      <w:pPr>
        <w:pStyle w:val="BodyText"/>
        <w:spacing w:before="86"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D95664" w:rsidRPr="00D95664" w:rsidRDefault="00D95664" w:rsidP="00D95664">
      <w:pPr>
        <w:spacing w:before="100" w:beforeAutospacing="1" w:after="100" w:afterAutospacing="1" w:line="276" w:lineRule="auto"/>
        <w:jc w:val="both"/>
        <w:rPr>
          <w:rFonts w:ascii="Times New Roman" w:eastAsia="Times New Roman" w:hAnsi="Times New Roman" w:cs="Times New Roman"/>
          <w:sz w:val="24"/>
          <w:szCs w:val="24"/>
        </w:rPr>
      </w:pPr>
      <w:r w:rsidRPr="00D95664">
        <w:rPr>
          <w:rFonts w:ascii="Times New Roman" w:eastAsia="Times New Roman" w:hAnsi="Times New Roman" w:cs="Times New Roman"/>
          <w:sz w:val="24"/>
          <w:szCs w:val="24"/>
        </w:rPr>
        <w:t xml:space="preserve">This study provides an integrated, mechanistic framework for understanding radon-induced lung carcinogenesis by bridging molecular, cellular, and epidemiological scales. Starting from alpha-particle track simulations, we demonstrated the spatial heterogeneity of ionization events, with dense clustering in the track core leading to complex, repair-resistant double-strand breaks and more dispersed ionizations in the penumbra contributing to single-strand breaks and base damage. DNA damage and repair simulations highlighted the critical role of repair pathway choice, with </w:t>
      </w:r>
      <w:r w:rsidRPr="00D95664">
        <w:rPr>
          <w:rFonts w:ascii="Times New Roman" w:eastAsia="Times New Roman" w:hAnsi="Times New Roman" w:cs="Times New Roman"/>
          <w:sz w:val="24"/>
          <w:szCs w:val="24"/>
        </w:rPr>
        <w:lastRenderedPageBreak/>
        <w:t xml:space="preserve">non-homologous end joining dominating </w:t>
      </w:r>
      <w:proofErr w:type="spellStart"/>
      <w:r w:rsidRPr="00D95664">
        <w:rPr>
          <w:rFonts w:ascii="Times New Roman" w:eastAsia="Times New Roman" w:hAnsi="Times New Roman" w:cs="Times New Roman"/>
          <w:sz w:val="24"/>
          <w:szCs w:val="24"/>
        </w:rPr>
        <w:t>misrepair</w:t>
      </w:r>
      <w:proofErr w:type="spellEnd"/>
      <w:r w:rsidRPr="00D95664">
        <w:rPr>
          <w:rFonts w:ascii="Times New Roman" w:eastAsia="Times New Roman" w:hAnsi="Times New Roman" w:cs="Times New Roman"/>
          <w:sz w:val="24"/>
          <w:szCs w:val="24"/>
        </w:rPr>
        <w:t xml:space="preserve"> outcomes in clustered lesions. Protein–DNA interaction modeling further differentiated between repair-efficient and </w:t>
      </w:r>
      <w:proofErr w:type="spellStart"/>
      <w:r w:rsidRPr="00D95664">
        <w:rPr>
          <w:rFonts w:ascii="Times New Roman" w:eastAsia="Times New Roman" w:hAnsi="Times New Roman" w:cs="Times New Roman"/>
          <w:sz w:val="24"/>
          <w:szCs w:val="24"/>
        </w:rPr>
        <w:t>misrepair</w:t>
      </w:r>
      <w:proofErr w:type="spellEnd"/>
      <w:r w:rsidRPr="00D95664">
        <w:rPr>
          <w:rFonts w:ascii="Times New Roman" w:eastAsia="Times New Roman" w:hAnsi="Times New Roman" w:cs="Times New Roman"/>
          <w:sz w:val="24"/>
          <w:szCs w:val="24"/>
        </w:rPr>
        <w:t>-prone configurations, offering insights into the molecular determinants of repair fidelity.</w:t>
      </w:r>
    </w:p>
    <w:p w:rsidR="00D95664" w:rsidRPr="00D95664" w:rsidRDefault="00D95664" w:rsidP="00D95664">
      <w:pPr>
        <w:spacing w:before="100" w:beforeAutospacing="1" w:after="100" w:afterAutospacing="1" w:line="276" w:lineRule="auto"/>
        <w:jc w:val="both"/>
        <w:rPr>
          <w:rFonts w:ascii="Times New Roman" w:eastAsia="Times New Roman" w:hAnsi="Times New Roman" w:cs="Times New Roman"/>
          <w:sz w:val="24"/>
          <w:szCs w:val="24"/>
        </w:rPr>
      </w:pPr>
      <w:r w:rsidRPr="00D95664">
        <w:rPr>
          <w:rFonts w:ascii="Times New Roman" w:eastAsia="Times New Roman" w:hAnsi="Times New Roman" w:cs="Times New Roman"/>
          <w:sz w:val="24"/>
          <w:szCs w:val="24"/>
        </w:rPr>
        <w:t xml:space="preserve">At the cellular level, probabilistic modeling of repair, apoptosis, and </w:t>
      </w:r>
      <w:proofErr w:type="spellStart"/>
      <w:r w:rsidRPr="00D95664">
        <w:rPr>
          <w:rFonts w:ascii="Times New Roman" w:eastAsia="Times New Roman" w:hAnsi="Times New Roman" w:cs="Times New Roman"/>
          <w:sz w:val="24"/>
          <w:szCs w:val="24"/>
        </w:rPr>
        <w:t>misrepair</w:t>
      </w:r>
      <w:proofErr w:type="spellEnd"/>
      <w:r w:rsidRPr="00D95664">
        <w:rPr>
          <w:rFonts w:ascii="Times New Roman" w:eastAsia="Times New Roman" w:hAnsi="Times New Roman" w:cs="Times New Roman"/>
          <w:sz w:val="24"/>
          <w:szCs w:val="24"/>
        </w:rPr>
        <w:t xml:space="preserve"> outcomes illustrated how mutation accumulation emerges from a balance between lesion lethality and </w:t>
      </w:r>
      <w:proofErr w:type="spellStart"/>
      <w:r w:rsidRPr="00D95664">
        <w:rPr>
          <w:rFonts w:ascii="Times New Roman" w:eastAsia="Times New Roman" w:hAnsi="Times New Roman" w:cs="Times New Roman"/>
          <w:sz w:val="24"/>
          <w:szCs w:val="24"/>
        </w:rPr>
        <w:t>misrepair</w:t>
      </w:r>
      <w:proofErr w:type="spellEnd"/>
      <w:r w:rsidRPr="00D95664">
        <w:rPr>
          <w:rFonts w:ascii="Times New Roman" w:eastAsia="Times New Roman" w:hAnsi="Times New Roman" w:cs="Times New Roman"/>
          <w:sz w:val="24"/>
          <w:szCs w:val="24"/>
        </w:rPr>
        <w:t>-driven survival. These cell-scale outcomes were embedded within a biologically based dose-response (BBDR) model, which successfully recapitulated population-level excess relative risk (ERR) estimates consistent with pooled residential epidemiological studies, BEIR VI, and ICRP assessments. The model predicted an ERR of approximately 8–10% per 100 Bq·m⁻³, strengthening confidence in current risk estimates while grounding them in molecular mechanisms.</w:t>
      </w:r>
    </w:p>
    <w:p w:rsidR="00D95664" w:rsidRPr="00D95664" w:rsidRDefault="00D95664" w:rsidP="00D95664">
      <w:pPr>
        <w:spacing w:before="100" w:beforeAutospacing="1" w:after="100" w:afterAutospacing="1" w:line="276" w:lineRule="auto"/>
        <w:jc w:val="both"/>
        <w:rPr>
          <w:rFonts w:ascii="Times New Roman" w:eastAsia="Times New Roman" w:hAnsi="Times New Roman" w:cs="Times New Roman"/>
          <w:sz w:val="24"/>
          <w:szCs w:val="24"/>
        </w:rPr>
      </w:pPr>
      <w:r w:rsidRPr="00D95664">
        <w:rPr>
          <w:rFonts w:ascii="Times New Roman" w:eastAsia="Times New Roman" w:hAnsi="Times New Roman" w:cs="Times New Roman"/>
          <w:sz w:val="24"/>
          <w:szCs w:val="24"/>
        </w:rPr>
        <w:t>Collect</w:t>
      </w:r>
      <w:r>
        <w:rPr>
          <w:rFonts w:ascii="Times New Roman" w:eastAsia="Times New Roman" w:hAnsi="Times New Roman" w:cs="Times New Roman"/>
          <w:sz w:val="24"/>
          <w:szCs w:val="24"/>
        </w:rPr>
        <w:t>ively, these findings provides</w:t>
      </w:r>
      <w:r w:rsidRPr="00D95664">
        <w:rPr>
          <w:rFonts w:ascii="Times New Roman" w:eastAsia="Times New Roman" w:hAnsi="Times New Roman" w:cs="Times New Roman"/>
          <w:sz w:val="24"/>
          <w:szCs w:val="24"/>
        </w:rPr>
        <w:t xml:space="preserve"> the importance of spatially clustered DNA damage, pathway-specific repair dynamics, and cell fate decisions in shaping radon-induced cancer risk. By explicitly linking mechanistic simulations with epidemiological data, this work advances the field beyond purely empirical models, offering a robust scientific foundation for risk assessment and public health policy. The framework presented here is adaptable to other inhaled radionuclides and carcinogenic exposures, and it provides a platform for refining low-dose risk estimates, exploring individual susceptibility factors, and improving radiation protection standards.</w:t>
      </w:r>
    </w:p>
    <w:p w:rsidR="00EA2DAD" w:rsidRDefault="00D6709C" w:rsidP="00EA2DAD">
      <w:pPr>
        <w:pStyle w:val="BodyText"/>
        <w:spacing w:before="86" w:line="276"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1C5706" w:rsidRPr="00836AEF" w:rsidRDefault="001C5706" w:rsidP="001C5706">
      <w:pPr>
        <w:spacing w:after="120" w:line="240" w:lineRule="auto"/>
        <w:ind w:left="720" w:hanging="720"/>
        <w:jc w:val="both"/>
        <w:rPr>
          <w:rStyle w:val="Hyperlink"/>
          <w:rFonts w:ascii="Times New Roman" w:hAnsi="Times New Roman" w:cs="Times New Roman"/>
          <w:sz w:val="24"/>
          <w:szCs w:val="24"/>
        </w:rPr>
      </w:pPr>
      <w:r w:rsidRPr="00836AEF">
        <w:rPr>
          <w:rFonts w:ascii="Times New Roman" w:hAnsi="Times New Roman" w:cs="Times New Roman"/>
          <w:color w:val="333333"/>
          <w:sz w:val="24"/>
          <w:szCs w:val="24"/>
        </w:rPr>
        <w:t xml:space="preserve">Abraham, M., </w:t>
      </w:r>
      <w:proofErr w:type="spellStart"/>
      <w:r w:rsidRPr="00836AEF">
        <w:rPr>
          <w:rFonts w:ascii="Times New Roman" w:hAnsi="Times New Roman" w:cs="Times New Roman"/>
          <w:color w:val="333333"/>
          <w:sz w:val="24"/>
          <w:szCs w:val="24"/>
        </w:rPr>
        <w:t>Murtola</w:t>
      </w:r>
      <w:proofErr w:type="spellEnd"/>
      <w:r w:rsidRPr="00836AEF">
        <w:rPr>
          <w:rFonts w:ascii="Times New Roman" w:hAnsi="Times New Roman" w:cs="Times New Roman"/>
          <w:color w:val="333333"/>
          <w:sz w:val="24"/>
          <w:szCs w:val="24"/>
        </w:rPr>
        <w:t xml:space="preserve">, T., Schulz, R., </w:t>
      </w:r>
      <w:proofErr w:type="spellStart"/>
      <w:r w:rsidRPr="00836AEF">
        <w:rPr>
          <w:rFonts w:ascii="Times New Roman" w:hAnsi="Times New Roman" w:cs="Times New Roman"/>
          <w:color w:val="333333"/>
          <w:sz w:val="24"/>
          <w:szCs w:val="24"/>
        </w:rPr>
        <w:t>Páll</w:t>
      </w:r>
      <w:proofErr w:type="spellEnd"/>
      <w:r w:rsidRPr="00836AEF">
        <w:rPr>
          <w:rFonts w:ascii="Times New Roman" w:hAnsi="Times New Roman" w:cs="Times New Roman"/>
          <w:color w:val="333333"/>
          <w:sz w:val="24"/>
          <w:szCs w:val="24"/>
        </w:rPr>
        <w:t xml:space="preserve">, S., Smith, J., Hess, B., &amp; </w:t>
      </w:r>
      <w:proofErr w:type="spellStart"/>
      <w:r w:rsidRPr="00836AEF">
        <w:rPr>
          <w:rFonts w:ascii="Times New Roman" w:hAnsi="Times New Roman" w:cs="Times New Roman"/>
          <w:color w:val="333333"/>
          <w:sz w:val="24"/>
          <w:szCs w:val="24"/>
        </w:rPr>
        <w:t>Lindahl</w:t>
      </w:r>
      <w:proofErr w:type="spellEnd"/>
      <w:r w:rsidRPr="00836AEF">
        <w:rPr>
          <w:rFonts w:ascii="Times New Roman" w:hAnsi="Times New Roman" w:cs="Times New Roman"/>
          <w:color w:val="333333"/>
          <w:sz w:val="24"/>
          <w:szCs w:val="24"/>
        </w:rPr>
        <w:t>, E. (2015). GROMACS: High performance molecular simulations through multi-level parallelism from laptops to supercomputers. </w:t>
      </w:r>
      <w:proofErr w:type="spellStart"/>
      <w:r w:rsidRPr="00836AEF">
        <w:rPr>
          <w:rStyle w:val="citationsource-journal"/>
          <w:rFonts w:ascii="Times New Roman" w:hAnsi="Times New Roman" w:cs="Times New Roman"/>
          <w:i/>
          <w:iCs/>
          <w:color w:val="333333"/>
          <w:sz w:val="24"/>
          <w:szCs w:val="24"/>
        </w:rPr>
        <w:t>SoftwareX</w:t>
      </w:r>
      <w:proofErr w:type="spellEnd"/>
      <w:r w:rsidRPr="00836AEF">
        <w:rPr>
          <w:rFonts w:ascii="Times New Roman" w:hAnsi="Times New Roman" w:cs="Times New Roman"/>
          <w:color w:val="333333"/>
          <w:sz w:val="24"/>
          <w:szCs w:val="24"/>
        </w:rPr>
        <w:t>, </w:t>
      </w:r>
      <w:r w:rsidRPr="00836AEF">
        <w:rPr>
          <w:rFonts w:ascii="Times New Roman" w:hAnsi="Times New Roman" w:cs="Times New Roman"/>
          <w:i/>
          <w:iCs/>
          <w:color w:val="333333"/>
          <w:sz w:val="24"/>
          <w:szCs w:val="24"/>
        </w:rPr>
        <w:t>1–2</w:t>
      </w:r>
      <w:r w:rsidRPr="00836AEF">
        <w:rPr>
          <w:rFonts w:ascii="Times New Roman" w:hAnsi="Times New Roman" w:cs="Times New Roman"/>
          <w:color w:val="333333"/>
          <w:sz w:val="24"/>
          <w:szCs w:val="24"/>
        </w:rPr>
        <w:t xml:space="preserve">, 19–25. </w:t>
      </w:r>
      <w:hyperlink r:id="rId23" w:history="1">
        <w:r w:rsidRPr="00836AEF">
          <w:rPr>
            <w:rStyle w:val="Hyperlink"/>
            <w:rFonts w:ascii="Times New Roman" w:hAnsi="Times New Roman" w:cs="Times New Roman"/>
            <w:sz w:val="24"/>
            <w:szCs w:val="24"/>
          </w:rPr>
          <w:t>https://doi.org/10.1016/j.softx.2015.06.001</w:t>
        </w:r>
      </w:hyperlink>
    </w:p>
    <w:p w:rsidR="001C5706" w:rsidRPr="00836AEF"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t>Adams, R. J., Smith, T. P., &amp; Johnson, L. M. (2020). Indoor radon exposure and lung cancer risk: A meta-analysis. Journal of Environmental Health, 82(4), 123–135. https://doi.org/10.1016/jeh.2020.05.003</w:t>
      </w:r>
    </w:p>
    <w:p w:rsidR="001C5706" w:rsidRPr="00836AEF" w:rsidRDefault="001C5706" w:rsidP="001C5706">
      <w:pPr>
        <w:spacing w:after="120" w:line="240" w:lineRule="auto"/>
        <w:ind w:left="720" w:hanging="720"/>
        <w:jc w:val="both"/>
        <w:rPr>
          <w:rFonts w:ascii="Times New Roman" w:hAnsi="Times New Roman" w:cs="Times New Roman"/>
          <w:color w:val="0563C1" w:themeColor="hyperlink"/>
          <w:sz w:val="24"/>
          <w:szCs w:val="24"/>
          <w:u w:val="single"/>
        </w:rPr>
      </w:pPr>
      <w:proofErr w:type="spellStart"/>
      <w:r w:rsidRPr="00836AEF">
        <w:rPr>
          <w:rFonts w:ascii="Times New Roman" w:hAnsi="Times New Roman" w:cs="Times New Roman"/>
          <w:sz w:val="24"/>
          <w:szCs w:val="24"/>
        </w:rPr>
        <w:t>Auwal</w:t>
      </w:r>
      <w:proofErr w:type="spellEnd"/>
      <w:r w:rsidRPr="00836AEF">
        <w:rPr>
          <w:rFonts w:ascii="Times New Roman" w:hAnsi="Times New Roman" w:cs="Times New Roman"/>
          <w:sz w:val="24"/>
          <w:szCs w:val="24"/>
        </w:rPr>
        <w:t xml:space="preserve"> Y. M., </w:t>
      </w:r>
      <w:proofErr w:type="spellStart"/>
      <w:proofErr w:type="gramStart"/>
      <w:r w:rsidRPr="00836AEF">
        <w:rPr>
          <w:rFonts w:ascii="Times New Roman" w:hAnsi="Times New Roman" w:cs="Times New Roman"/>
          <w:sz w:val="24"/>
          <w:szCs w:val="24"/>
        </w:rPr>
        <w:t>Meludu</w:t>
      </w:r>
      <w:proofErr w:type="spellEnd"/>
      <w:r w:rsidRPr="00836AEF">
        <w:rPr>
          <w:rFonts w:ascii="Times New Roman" w:hAnsi="Times New Roman" w:cs="Times New Roman"/>
          <w:sz w:val="24"/>
          <w:szCs w:val="24"/>
        </w:rPr>
        <w:t xml:space="preserve"> ,O</w:t>
      </w:r>
      <w:proofErr w:type="gramEnd"/>
      <w:r w:rsidRPr="00836AEF">
        <w:rPr>
          <w:rFonts w:ascii="Times New Roman" w:hAnsi="Times New Roman" w:cs="Times New Roman"/>
          <w:sz w:val="24"/>
          <w:szCs w:val="24"/>
        </w:rPr>
        <w:t>. C., Pascal, T</w:t>
      </w:r>
      <w:r>
        <w:rPr>
          <w:rFonts w:ascii="Times New Roman" w:hAnsi="Times New Roman" w:cs="Times New Roman"/>
          <w:sz w:val="24"/>
          <w:szCs w:val="24"/>
        </w:rPr>
        <w:t xml:space="preserve"> (2025)</w:t>
      </w:r>
      <w:r w:rsidRPr="00836AEF">
        <w:rPr>
          <w:rFonts w:ascii="Times New Roman" w:hAnsi="Times New Roman" w:cs="Times New Roman"/>
          <w:sz w:val="24"/>
          <w:szCs w:val="24"/>
        </w:rPr>
        <w:t xml:space="preserve">. </w:t>
      </w:r>
      <w:r w:rsidRPr="00836AEF">
        <w:rPr>
          <w:rFonts w:ascii="Times New Roman" w:hAnsi="Times New Roman" w:cs="Times New Roman"/>
          <w:bCs/>
          <w:sz w:val="24"/>
          <w:szCs w:val="24"/>
        </w:rPr>
        <w:t xml:space="preserve">Computational modeling and validation of indoor radon gas dynamics and accumulation using </w:t>
      </w:r>
      <w:proofErr w:type="spellStart"/>
      <w:r w:rsidRPr="00836AEF">
        <w:rPr>
          <w:rFonts w:ascii="Times New Roman" w:hAnsi="Times New Roman" w:cs="Times New Roman"/>
          <w:bCs/>
          <w:sz w:val="24"/>
          <w:szCs w:val="24"/>
        </w:rPr>
        <w:t>ansys</w:t>
      </w:r>
      <w:proofErr w:type="spellEnd"/>
      <w:r w:rsidRPr="00836AEF">
        <w:rPr>
          <w:rFonts w:ascii="Times New Roman" w:hAnsi="Times New Roman" w:cs="Times New Roman"/>
          <w:bCs/>
          <w:sz w:val="24"/>
          <w:szCs w:val="24"/>
        </w:rPr>
        <w:t xml:space="preserve"> fluent simulation 2025. Communication in Physical Sciences, 2025, 12(4): 1172-1183. </w:t>
      </w:r>
      <w:r w:rsidRPr="00836AEF">
        <w:rPr>
          <w:rFonts w:ascii="Times New Roman" w:hAnsi="Times New Roman" w:cs="Times New Roman"/>
          <w:sz w:val="24"/>
          <w:szCs w:val="24"/>
        </w:rPr>
        <w:t>https://dx.doi.org/10.4314/cps.v12i4.3</w:t>
      </w:r>
    </w:p>
    <w:p w:rsidR="001C5706" w:rsidRPr="00836AEF" w:rsidRDefault="001C5706" w:rsidP="001C5706">
      <w:pPr>
        <w:spacing w:after="120" w:line="240" w:lineRule="auto"/>
        <w:ind w:left="720" w:hanging="720"/>
        <w:jc w:val="both"/>
        <w:rPr>
          <w:rStyle w:val="Hyperlink"/>
          <w:rFonts w:ascii="Times New Roman" w:hAnsi="Times New Roman" w:cs="Times New Roman"/>
          <w:i/>
          <w:iCs/>
          <w:sz w:val="24"/>
          <w:szCs w:val="24"/>
        </w:rPr>
      </w:pPr>
      <w:proofErr w:type="spellStart"/>
      <w:r w:rsidRPr="00836AEF">
        <w:rPr>
          <w:rFonts w:ascii="Times New Roman" w:hAnsi="Times New Roman" w:cs="Times New Roman"/>
          <w:sz w:val="24"/>
          <w:szCs w:val="24"/>
        </w:rPr>
        <w:t>Auwal</w:t>
      </w:r>
      <w:proofErr w:type="spellEnd"/>
      <w:r w:rsidRPr="00836AEF">
        <w:rPr>
          <w:rFonts w:ascii="Times New Roman" w:hAnsi="Times New Roman" w:cs="Times New Roman"/>
          <w:sz w:val="24"/>
          <w:szCs w:val="24"/>
        </w:rPr>
        <w:t xml:space="preserve"> Y. M., </w:t>
      </w:r>
      <w:proofErr w:type="spellStart"/>
      <w:proofErr w:type="gramStart"/>
      <w:r w:rsidRPr="00836AEF">
        <w:rPr>
          <w:rFonts w:ascii="Times New Roman" w:hAnsi="Times New Roman" w:cs="Times New Roman"/>
          <w:sz w:val="24"/>
          <w:szCs w:val="24"/>
        </w:rPr>
        <w:t>Meludu</w:t>
      </w:r>
      <w:proofErr w:type="spellEnd"/>
      <w:r w:rsidRPr="00836AEF">
        <w:rPr>
          <w:rFonts w:ascii="Times New Roman" w:hAnsi="Times New Roman" w:cs="Times New Roman"/>
          <w:sz w:val="24"/>
          <w:szCs w:val="24"/>
        </w:rPr>
        <w:t xml:space="preserve"> ,O</w:t>
      </w:r>
      <w:proofErr w:type="gramEnd"/>
      <w:r w:rsidRPr="00836AEF">
        <w:rPr>
          <w:rFonts w:ascii="Times New Roman" w:hAnsi="Times New Roman" w:cs="Times New Roman"/>
          <w:sz w:val="24"/>
          <w:szCs w:val="24"/>
        </w:rPr>
        <w:t>. C., Pascal, T</w:t>
      </w:r>
      <w:r>
        <w:rPr>
          <w:rFonts w:ascii="Times New Roman" w:hAnsi="Times New Roman" w:cs="Times New Roman"/>
          <w:sz w:val="24"/>
          <w:szCs w:val="24"/>
        </w:rPr>
        <w:t xml:space="preserve"> (2025)</w:t>
      </w:r>
      <w:r w:rsidRPr="00836AEF">
        <w:rPr>
          <w:rFonts w:ascii="Times New Roman" w:hAnsi="Times New Roman" w:cs="Times New Roman"/>
          <w:sz w:val="24"/>
          <w:szCs w:val="24"/>
        </w:rPr>
        <w:t xml:space="preserve">. Health Risk Assessment of Indoor Radon Exposure in Some Residential Dwellings </w:t>
      </w:r>
      <w:proofErr w:type="gramStart"/>
      <w:r w:rsidRPr="00836AEF">
        <w:rPr>
          <w:rFonts w:ascii="Times New Roman" w:hAnsi="Times New Roman" w:cs="Times New Roman"/>
          <w:sz w:val="24"/>
          <w:szCs w:val="24"/>
        </w:rPr>
        <w:t>Across</w:t>
      </w:r>
      <w:proofErr w:type="gramEnd"/>
      <w:r w:rsidRPr="00836AEF">
        <w:rPr>
          <w:rFonts w:ascii="Times New Roman" w:hAnsi="Times New Roman" w:cs="Times New Roman"/>
          <w:sz w:val="24"/>
          <w:szCs w:val="24"/>
        </w:rPr>
        <w:t xml:space="preserve"> North East, Nigeria.  </w:t>
      </w:r>
      <w:proofErr w:type="spellStart"/>
      <w:r w:rsidRPr="00836AEF">
        <w:rPr>
          <w:rFonts w:ascii="Times New Roman" w:hAnsi="Times New Roman" w:cs="Times New Roman"/>
          <w:bCs/>
          <w:sz w:val="24"/>
          <w:szCs w:val="24"/>
        </w:rPr>
        <w:t>Dutse</w:t>
      </w:r>
      <w:proofErr w:type="spellEnd"/>
      <w:r w:rsidRPr="00836AEF">
        <w:rPr>
          <w:rFonts w:ascii="Times New Roman" w:hAnsi="Times New Roman" w:cs="Times New Roman"/>
          <w:bCs/>
          <w:sz w:val="24"/>
          <w:szCs w:val="24"/>
        </w:rPr>
        <w:t xml:space="preserve"> Journal of Pure and Applied Sciences (DUJOPAS</w:t>
      </w:r>
      <w:r w:rsidRPr="00836AEF">
        <w:rPr>
          <w:rFonts w:ascii="Times New Roman" w:hAnsi="Times New Roman" w:cs="Times New Roman"/>
          <w:bCs/>
          <w:i/>
          <w:iCs/>
          <w:sz w:val="24"/>
          <w:szCs w:val="24"/>
        </w:rPr>
        <w:t>),</w:t>
      </w:r>
      <w:r w:rsidRPr="00836AEF">
        <w:rPr>
          <w:rFonts w:ascii="Times New Roman" w:hAnsi="Times New Roman" w:cs="Times New Roman"/>
          <w:b/>
          <w:bCs/>
          <w:i/>
          <w:iCs/>
          <w:sz w:val="24"/>
          <w:szCs w:val="24"/>
        </w:rPr>
        <w:t xml:space="preserve"> </w:t>
      </w:r>
      <w:r w:rsidRPr="00836AEF">
        <w:rPr>
          <w:rFonts w:ascii="Times New Roman" w:hAnsi="Times New Roman" w:cs="Times New Roman"/>
          <w:i/>
          <w:iCs/>
          <w:sz w:val="24"/>
          <w:szCs w:val="24"/>
        </w:rPr>
        <w:t>Vol. 11 No. 2a June 2025</w:t>
      </w:r>
      <w:r w:rsidRPr="00836AEF">
        <w:rPr>
          <w:rFonts w:ascii="Times New Roman" w:hAnsi="Times New Roman" w:cs="Times New Roman"/>
          <w:sz w:val="24"/>
          <w:szCs w:val="24"/>
        </w:rPr>
        <w:t xml:space="preserve">. </w:t>
      </w:r>
      <w:hyperlink r:id="rId24" w:history="1">
        <w:r w:rsidRPr="00836AEF">
          <w:rPr>
            <w:rStyle w:val="Hyperlink"/>
            <w:rFonts w:ascii="Times New Roman" w:hAnsi="Times New Roman" w:cs="Times New Roman"/>
            <w:i/>
            <w:iCs/>
            <w:sz w:val="24"/>
            <w:szCs w:val="24"/>
          </w:rPr>
          <w:t>https://dx.doi.org/10.4314/dujopas.v11i2a.18</w:t>
        </w:r>
      </w:hyperlink>
    </w:p>
    <w:p w:rsidR="001C5706" w:rsidRPr="00836AEF" w:rsidRDefault="001C5706" w:rsidP="001C5706">
      <w:pPr>
        <w:spacing w:after="120" w:line="240" w:lineRule="auto"/>
        <w:ind w:left="720" w:hanging="720"/>
        <w:jc w:val="both"/>
        <w:rPr>
          <w:rFonts w:ascii="Times New Roman" w:hAnsi="Times New Roman" w:cs="Times New Roman"/>
          <w:sz w:val="24"/>
          <w:szCs w:val="24"/>
        </w:rPr>
      </w:pPr>
      <w:proofErr w:type="spellStart"/>
      <w:r w:rsidRPr="00836AEF">
        <w:rPr>
          <w:rFonts w:ascii="Times New Roman" w:hAnsi="Times New Roman" w:cs="Times New Roman"/>
          <w:sz w:val="24"/>
          <w:szCs w:val="24"/>
        </w:rPr>
        <w:t>Balashazy</w:t>
      </w:r>
      <w:proofErr w:type="spellEnd"/>
      <w:r w:rsidRPr="00836AEF">
        <w:rPr>
          <w:rFonts w:ascii="Times New Roman" w:hAnsi="Times New Roman" w:cs="Times New Roman"/>
          <w:sz w:val="24"/>
          <w:szCs w:val="24"/>
        </w:rPr>
        <w:t xml:space="preserve">, I., </w:t>
      </w:r>
      <w:proofErr w:type="spellStart"/>
      <w:r w:rsidRPr="00836AEF">
        <w:rPr>
          <w:rFonts w:ascii="Times New Roman" w:hAnsi="Times New Roman" w:cs="Times New Roman"/>
          <w:sz w:val="24"/>
          <w:szCs w:val="24"/>
        </w:rPr>
        <w:t>Farkas</w:t>
      </w:r>
      <w:proofErr w:type="spellEnd"/>
      <w:r w:rsidRPr="00836AEF">
        <w:rPr>
          <w:rFonts w:ascii="Times New Roman" w:hAnsi="Times New Roman" w:cs="Times New Roman"/>
          <w:sz w:val="24"/>
          <w:szCs w:val="24"/>
        </w:rPr>
        <w:t xml:space="preserve">, A., </w:t>
      </w:r>
      <w:proofErr w:type="spellStart"/>
      <w:r w:rsidRPr="00836AEF">
        <w:rPr>
          <w:rFonts w:ascii="Times New Roman" w:hAnsi="Times New Roman" w:cs="Times New Roman"/>
          <w:sz w:val="24"/>
          <w:szCs w:val="24"/>
        </w:rPr>
        <w:t>Madas</w:t>
      </w:r>
      <w:proofErr w:type="spellEnd"/>
      <w:r w:rsidRPr="00836AEF">
        <w:rPr>
          <w:rFonts w:ascii="Times New Roman" w:hAnsi="Times New Roman" w:cs="Times New Roman"/>
          <w:sz w:val="24"/>
          <w:szCs w:val="24"/>
        </w:rPr>
        <w:t xml:space="preserve">, B. G., &amp; Hofmann, W. (2009). Non-linear relationship of cell hit and transformation probabilities in a low dose of inhaled radon progenies. Journal of Radiological Protection, 29(2), 147–162. </w:t>
      </w:r>
      <w:hyperlink r:id="rId25" w:history="1">
        <w:r w:rsidRPr="00836AEF">
          <w:rPr>
            <w:rStyle w:val="Hyperlink"/>
            <w:rFonts w:ascii="Times New Roman" w:hAnsi="Times New Roman" w:cs="Times New Roman"/>
            <w:sz w:val="24"/>
            <w:szCs w:val="24"/>
          </w:rPr>
          <w:t>https://doi.org/10.1088/0952-4746/29/2/003</w:t>
        </w:r>
      </w:hyperlink>
    </w:p>
    <w:p w:rsidR="001C5706" w:rsidRPr="00836AEF"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t>Benson, A. K., &amp; Rogers, P. Q. (2019). Simulation of radon gas dispersion in confined spaces using CFD modeling. Radiation Physics and Chemistry, 162, 45–55. https://doi.org/10.1016/j.radphyschem.2019.05.010</w:t>
      </w:r>
    </w:p>
    <w:p w:rsidR="001C5706" w:rsidRPr="00836AEF"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lastRenderedPageBreak/>
        <w:t xml:space="preserve">Carter, J. L., &amp; Huang, Y. (2021). Health physics approaches to residential radon risk assessment. Health Physics Journal, 120(6), 601–612. </w:t>
      </w:r>
      <w:hyperlink r:id="rId26" w:history="1">
        <w:r w:rsidRPr="00836AEF">
          <w:rPr>
            <w:rStyle w:val="Hyperlink"/>
            <w:rFonts w:ascii="Times New Roman" w:hAnsi="Times New Roman" w:cs="Times New Roman"/>
            <w:sz w:val="24"/>
            <w:szCs w:val="24"/>
          </w:rPr>
          <w:t>https://doi.org/10.1097/HP.0000000000001456</w:t>
        </w:r>
      </w:hyperlink>
    </w:p>
    <w:p w:rsidR="001C5706" w:rsidRPr="00836AEF" w:rsidRDefault="001C5706" w:rsidP="001C5706">
      <w:pPr>
        <w:spacing w:after="120" w:line="240" w:lineRule="auto"/>
        <w:ind w:left="720" w:hanging="720"/>
        <w:jc w:val="both"/>
        <w:rPr>
          <w:rFonts w:ascii="Times New Roman" w:hAnsi="Times New Roman" w:cs="Times New Roman"/>
          <w:color w:val="333333"/>
          <w:sz w:val="24"/>
          <w:szCs w:val="24"/>
        </w:rPr>
      </w:pPr>
      <w:r w:rsidRPr="00836AEF">
        <w:rPr>
          <w:rFonts w:ascii="Times New Roman" w:hAnsi="Times New Roman" w:cs="Times New Roman"/>
          <w:color w:val="333333"/>
          <w:sz w:val="24"/>
          <w:szCs w:val="24"/>
        </w:rPr>
        <w:t xml:space="preserve">Chen, M., Zeng, G., Xu, P., Yan, M., </w:t>
      </w:r>
      <w:proofErr w:type="spellStart"/>
      <w:r w:rsidRPr="00836AEF">
        <w:rPr>
          <w:rFonts w:ascii="Times New Roman" w:hAnsi="Times New Roman" w:cs="Times New Roman"/>
          <w:color w:val="333333"/>
          <w:sz w:val="24"/>
          <w:szCs w:val="24"/>
        </w:rPr>
        <w:t>Xiong</w:t>
      </w:r>
      <w:proofErr w:type="spellEnd"/>
      <w:r w:rsidRPr="00836AEF">
        <w:rPr>
          <w:rFonts w:ascii="Times New Roman" w:hAnsi="Times New Roman" w:cs="Times New Roman"/>
          <w:color w:val="333333"/>
          <w:sz w:val="24"/>
          <w:szCs w:val="24"/>
        </w:rPr>
        <w:t>, W., &amp; Zhou, S. (2017). Interaction of carbon nanotubes with microbial enzymes: Conformational transitions and potential toxicity. </w:t>
      </w:r>
      <w:r w:rsidRPr="00836AEF">
        <w:rPr>
          <w:rStyle w:val="citationsource-journal"/>
          <w:rFonts w:ascii="Times New Roman" w:hAnsi="Times New Roman" w:cs="Times New Roman"/>
          <w:i/>
          <w:iCs/>
          <w:color w:val="333333"/>
          <w:sz w:val="24"/>
          <w:szCs w:val="24"/>
        </w:rPr>
        <w:t>Environmental Science</w:t>
      </w:r>
      <w:r w:rsidRPr="00836AEF">
        <w:rPr>
          <w:rFonts w:ascii="Times New Roman" w:hAnsi="Times New Roman" w:cs="Times New Roman"/>
          <w:color w:val="333333"/>
          <w:sz w:val="24"/>
          <w:szCs w:val="24"/>
        </w:rPr>
        <w:t>, </w:t>
      </w:r>
      <w:r w:rsidRPr="00836AEF">
        <w:rPr>
          <w:rFonts w:ascii="Times New Roman" w:hAnsi="Times New Roman" w:cs="Times New Roman"/>
          <w:i/>
          <w:iCs/>
          <w:color w:val="333333"/>
          <w:sz w:val="24"/>
          <w:szCs w:val="24"/>
        </w:rPr>
        <w:t>4</w:t>
      </w:r>
      <w:r w:rsidRPr="00836AEF">
        <w:rPr>
          <w:rFonts w:ascii="Times New Roman" w:hAnsi="Times New Roman" w:cs="Times New Roman"/>
          <w:color w:val="333333"/>
          <w:sz w:val="24"/>
          <w:szCs w:val="24"/>
        </w:rPr>
        <w:t>, 1954–1960.</w:t>
      </w:r>
    </w:p>
    <w:p w:rsidR="001C5706" w:rsidRPr="00836AEF" w:rsidRDefault="001C5706" w:rsidP="001C5706">
      <w:pPr>
        <w:spacing w:after="120" w:line="240" w:lineRule="auto"/>
        <w:ind w:left="720" w:hanging="720"/>
        <w:jc w:val="both"/>
        <w:rPr>
          <w:rFonts w:ascii="Times New Roman" w:hAnsi="Times New Roman" w:cs="Times New Roman"/>
          <w:color w:val="282828"/>
          <w:sz w:val="24"/>
          <w:szCs w:val="24"/>
          <w:shd w:val="clear" w:color="auto" w:fill="F7F7F7"/>
        </w:rPr>
      </w:pPr>
      <w:proofErr w:type="spellStart"/>
      <w:r w:rsidRPr="00836AEF">
        <w:rPr>
          <w:rFonts w:ascii="Times New Roman" w:hAnsi="Times New Roman" w:cs="Times New Roman"/>
          <w:color w:val="282828"/>
          <w:sz w:val="24"/>
          <w:szCs w:val="24"/>
          <w:shd w:val="clear" w:color="auto" w:fill="F7F7F7"/>
        </w:rPr>
        <w:t>Dror</w:t>
      </w:r>
      <w:proofErr w:type="spellEnd"/>
      <w:r w:rsidRPr="00836AEF">
        <w:rPr>
          <w:rFonts w:ascii="Times New Roman" w:hAnsi="Times New Roman" w:cs="Times New Roman"/>
          <w:color w:val="282828"/>
          <w:sz w:val="24"/>
          <w:szCs w:val="24"/>
          <w:shd w:val="clear" w:color="auto" w:fill="F7F7F7"/>
        </w:rPr>
        <w:t xml:space="preserve">, R. O., Dirks, R. M., Grossman, J., Xu, H., and Shaw, D. E. (2012). </w:t>
      </w:r>
      <w:proofErr w:type="spellStart"/>
      <w:r w:rsidRPr="00836AEF">
        <w:rPr>
          <w:rFonts w:ascii="Times New Roman" w:hAnsi="Times New Roman" w:cs="Times New Roman"/>
          <w:color w:val="282828"/>
          <w:sz w:val="24"/>
          <w:szCs w:val="24"/>
          <w:shd w:val="clear" w:color="auto" w:fill="F7F7F7"/>
        </w:rPr>
        <w:t>Biomolecular</w:t>
      </w:r>
      <w:proofErr w:type="spellEnd"/>
      <w:r w:rsidRPr="00836AEF">
        <w:rPr>
          <w:rFonts w:ascii="Times New Roman" w:hAnsi="Times New Roman" w:cs="Times New Roman"/>
          <w:color w:val="282828"/>
          <w:sz w:val="24"/>
          <w:szCs w:val="24"/>
          <w:shd w:val="clear" w:color="auto" w:fill="F7F7F7"/>
        </w:rPr>
        <w:t xml:space="preserve"> simulation: A computational microscope for molecular biology. </w:t>
      </w:r>
      <w:proofErr w:type="spellStart"/>
      <w:r w:rsidRPr="00836AEF">
        <w:rPr>
          <w:rStyle w:val="Emphasis"/>
          <w:rFonts w:ascii="Times New Roman" w:hAnsi="Times New Roman" w:cs="Times New Roman"/>
          <w:color w:val="282828"/>
          <w:sz w:val="24"/>
          <w:szCs w:val="24"/>
          <w:shd w:val="clear" w:color="auto" w:fill="F7F7F7"/>
        </w:rPr>
        <w:t>Annu</w:t>
      </w:r>
      <w:proofErr w:type="spellEnd"/>
      <w:r w:rsidRPr="00836AEF">
        <w:rPr>
          <w:rStyle w:val="Emphasis"/>
          <w:rFonts w:ascii="Times New Roman" w:hAnsi="Times New Roman" w:cs="Times New Roman"/>
          <w:color w:val="282828"/>
          <w:sz w:val="24"/>
          <w:szCs w:val="24"/>
          <w:shd w:val="clear" w:color="auto" w:fill="F7F7F7"/>
        </w:rPr>
        <w:t>. Rev. Biophysics</w:t>
      </w:r>
      <w:r w:rsidRPr="00836AEF">
        <w:rPr>
          <w:rFonts w:ascii="Times New Roman" w:hAnsi="Times New Roman" w:cs="Times New Roman"/>
          <w:color w:val="282828"/>
          <w:sz w:val="24"/>
          <w:szCs w:val="24"/>
          <w:shd w:val="clear" w:color="auto" w:fill="F7F7F7"/>
        </w:rPr>
        <w:t xml:space="preserve"> 41 (1), 429–452. </w:t>
      </w:r>
      <w:proofErr w:type="gramStart"/>
      <w:r w:rsidRPr="00836AEF">
        <w:rPr>
          <w:rFonts w:ascii="Times New Roman" w:hAnsi="Times New Roman" w:cs="Times New Roman"/>
          <w:color w:val="282828"/>
          <w:sz w:val="24"/>
          <w:szCs w:val="24"/>
          <w:shd w:val="clear" w:color="auto" w:fill="F7F7F7"/>
        </w:rPr>
        <w:t>doi:</w:t>
      </w:r>
      <w:proofErr w:type="gramEnd"/>
      <w:r w:rsidRPr="00836AEF">
        <w:rPr>
          <w:rFonts w:ascii="Times New Roman" w:hAnsi="Times New Roman" w:cs="Times New Roman"/>
          <w:color w:val="282828"/>
          <w:sz w:val="24"/>
          <w:szCs w:val="24"/>
          <w:shd w:val="clear" w:color="auto" w:fill="F7F7F7"/>
        </w:rPr>
        <w:t>10.1146/annurev-biophys-042910-155245</w:t>
      </w:r>
    </w:p>
    <w:p w:rsidR="001C5706" w:rsidRPr="00836AEF" w:rsidRDefault="001C5706" w:rsidP="001C5706">
      <w:pPr>
        <w:spacing w:after="120" w:line="240" w:lineRule="auto"/>
        <w:ind w:left="720" w:hanging="720"/>
        <w:jc w:val="both"/>
        <w:rPr>
          <w:rFonts w:ascii="Times New Roman" w:hAnsi="Times New Roman" w:cs="Times New Roman"/>
          <w:sz w:val="24"/>
          <w:szCs w:val="24"/>
        </w:rPr>
      </w:pPr>
      <w:proofErr w:type="spellStart"/>
      <w:r w:rsidRPr="00836AEF">
        <w:rPr>
          <w:rFonts w:ascii="Times New Roman" w:hAnsi="Times New Roman" w:cs="Times New Roman"/>
          <w:sz w:val="24"/>
          <w:szCs w:val="24"/>
        </w:rPr>
        <w:t>Farkas</w:t>
      </w:r>
      <w:proofErr w:type="spellEnd"/>
      <w:r w:rsidRPr="00836AEF">
        <w:rPr>
          <w:rFonts w:ascii="Times New Roman" w:hAnsi="Times New Roman" w:cs="Times New Roman"/>
          <w:sz w:val="24"/>
          <w:szCs w:val="24"/>
        </w:rPr>
        <w:t xml:space="preserve">, A., &amp; </w:t>
      </w:r>
      <w:proofErr w:type="spellStart"/>
      <w:r w:rsidRPr="00836AEF">
        <w:rPr>
          <w:rFonts w:ascii="Times New Roman" w:hAnsi="Times New Roman" w:cs="Times New Roman"/>
          <w:sz w:val="24"/>
          <w:szCs w:val="24"/>
        </w:rPr>
        <w:t>Balashazy</w:t>
      </w:r>
      <w:proofErr w:type="spellEnd"/>
      <w:r w:rsidRPr="00836AEF">
        <w:rPr>
          <w:rFonts w:ascii="Times New Roman" w:hAnsi="Times New Roman" w:cs="Times New Roman"/>
          <w:sz w:val="24"/>
          <w:szCs w:val="24"/>
        </w:rPr>
        <w:t>, I. (2007). Simulation of the effect of local obstructions and blockage on airflow and aerosol deposition in central human airways. Journal of Aerosol Science, 38(8), 865–884. https://doi.org/10.1016/j.jaerosci.2007.06.004</w:t>
      </w:r>
    </w:p>
    <w:p w:rsidR="001C5706" w:rsidRPr="00836AEF"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t xml:space="preserve">International Commission on Radiological Protection. (2010). Lung cancer risk from radon and progeny and statement on radon (ICRP Publication 115). Annals of the ICRP, 40(1), 1–64. </w:t>
      </w:r>
      <w:hyperlink r:id="rId27" w:history="1">
        <w:r w:rsidRPr="00836AEF">
          <w:rPr>
            <w:rStyle w:val="Hyperlink"/>
            <w:rFonts w:ascii="Times New Roman" w:hAnsi="Times New Roman" w:cs="Times New Roman"/>
            <w:sz w:val="24"/>
            <w:szCs w:val="24"/>
          </w:rPr>
          <w:t>https://doi.org/10.1016/j.icrp.2010.07.001</w:t>
        </w:r>
      </w:hyperlink>
    </w:p>
    <w:p w:rsidR="001C5706" w:rsidRPr="00836AEF"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t xml:space="preserve">Kim, C. S., &amp; Fisher, D. M. (1999). Deposition characteristics of aerosol particles in sequentially bifurcating airway models. Aerosol Science and Technology, 31(2–3), 198–220. </w:t>
      </w:r>
      <w:hyperlink r:id="rId28" w:history="1">
        <w:r w:rsidRPr="00836AEF">
          <w:rPr>
            <w:rStyle w:val="Hyperlink"/>
            <w:rFonts w:ascii="Times New Roman" w:hAnsi="Times New Roman" w:cs="Times New Roman"/>
            <w:sz w:val="24"/>
            <w:szCs w:val="24"/>
          </w:rPr>
          <w:t>https://doi.org/10.1080/027868299304255</w:t>
        </w:r>
      </w:hyperlink>
    </w:p>
    <w:p w:rsidR="001C5706" w:rsidRDefault="001C5706" w:rsidP="001C5706">
      <w:pPr>
        <w:spacing w:after="120" w:line="240" w:lineRule="auto"/>
        <w:ind w:left="720" w:hanging="720"/>
        <w:jc w:val="both"/>
        <w:rPr>
          <w:rStyle w:val="Hyperlink"/>
          <w:sz w:val="24"/>
          <w:szCs w:val="24"/>
        </w:rPr>
      </w:pPr>
      <w:proofErr w:type="spellStart"/>
      <w:r w:rsidRPr="00836AEF">
        <w:rPr>
          <w:rFonts w:ascii="Times New Roman" w:hAnsi="Times New Roman" w:cs="Times New Roman"/>
          <w:sz w:val="24"/>
          <w:szCs w:val="24"/>
        </w:rPr>
        <w:t>Kinsara</w:t>
      </w:r>
      <w:proofErr w:type="spellEnd"/>
      <w:r w:rsidRPr="00836AEF">
        <w:rPr>
          <w:rFonts w:ascii="Times New Roman" w:hAnsi="Times New Roman" w:cs="Times New Roman"/>
          <w:sz w:val="24"/>
          <w:szCs w:val="24"/>
        </w:rPr>
        <w:t xml:space="preserve">, A. A., </w:t>
      </w:r>
      <w:proofErr w:type="spellStart"/>
      <w:r w:rsidRPr="00836AEF">
        <w:rPr>
          <w:rFonts w:ascii="Times New Roman" w:hAnsi="Times New Roman" w:cs="Times New Roman"/>
          <w:sz w:val="24"/>
          <w:szCs w:val="24"/>
        </w:rPr>
        <w:t>Loyalka</w:t>
      </w:r>
      <w:proofErr w:type="spellEnd"/>
      <w:r w:rsidRPr="00836AEF">
        <w:rPr>
          <w:rFonts w:ascii="Times New Roman" w:hAnsi="Times New Roman" w:cs="Times New Roman"/>
          <w:sz w:val="24"/>
          <w:szCs w:val="24"/>
        </w:rPr>
        <w:t xml:space="preserve">, S. K., </w:t>
      </w:r>
      <w:proofErr w:type="spellStart"/>
      <w:r w:rsidRPr="00836AEF">
        <w:rPr>
          <w:rFonts w:ascii="Times New Roman" w:hAnsi="Times New Roman" w:cs="Times New Roman"/>
          <w:sz w:val="24"/>
          <w:szCs w:val="24"/>
        </w:rPr>
        <w:t>Tompson</w:t>
      </w:r>
      <w:proofErr w:type="spellEnd"/>
      <w:r w:rsidRPr="00836AEF">
        <w:rPr>
          <w:rFonts w:ascii="Times New Roman" w:hAnsi="Times New Roman" w:cs="Times New Roman"/>
          <w:sz w:val="24"/>
          <w:szCs w:val="24"/>
        </w:rPr>
        <w:t xml:space="preserve">, R. V., Miller, W. H., &amp; </w:t>
      </w:r>
      <w:proofErr w:type="spellStart"/>
      <w:r w:rsidRPr="00836AEF">
        <w:rPr>
          <w:rFonts w:ascii="Times New Roman" w:hAnsi="Times New Roman" w:cs="Times New Roman"/>
          <w:sz w:val="24"/>
          <w:szCs w:val="24"/>
        </w:rPr>
        <w:t>Holub</w:t>
      </w:r>
      <w:proofErr w:type="spellEnd"/>
      <w:r w:rsidRPr="00836AEF">
        <w:rPr>
          <w:rFonts w:ascii="Times New Roman" w:hAnsi="Times New Roman" w:cs="Times New Roman"/>
          <w:sz w:val="24"/>
          <w:szCs w:val="24"/>
        </w:rPr>
        <w:t xml:space="preserve">, R. F. (1995). Deposition patterns of molecular phase radon progeny (218Po) in lung bifurcations. Health Physics, 68(3), 371–382. </w:t>
      </w:r>
      <w:hyperlink r:id="rId29" w:history="1">
        <w:r w:rsidRPr="00836AEF">
          <w:rPr>
            <w:rStyle w:val="Hyperlink"/>
            <w:rFonts w:ascii="Times New Roman" w:hAnsi="Times New Roman" w:cs="Times New Roman"/>
            <w:sz w:val="24"/>
            <w:szCs w:val="24"/>
          </w:rPr>
          <w:t>https://doi.org/10.1097/00004032-199503000-00009</w:t>
        </w:r>
      </w:hyperlink>
    </w:p>
    <w:p w:rsidR="001C5706" w:rsidRPr="007D0D4F" w:rsidRDefault="001C5706" w:rsidP="001C5706">
      <w:pPr>
        <w:spacing w:after="0" w:line="240" w:lineRule="auto"/>
        <w:jc w:val="both"/>
        <w:rPr>
          <w:rFonts w:ascii="Times New Roman" w:hAnsi="Times New Roman" w:cs="Times New Roman"/>
          <w:color w:val="0563C1" w:themeColor="hyperlink"/>
          <w:sz w:val="24"/>
          <w:szCs w:val="24"/>
          <w:u w:val="single"/>
        </w:rPr>
      </w:pPr>
      <w:proofErr w:type="spellStart"/>
      <w:r w:rsidRPr="007D0D4F">
        <w:rPr>
          <w:rFonts w:ascii="Times New Roman" w:eastAsia="CharisSIL" w:hAnsi="Times New Roman" w:cs="Times New Roman"/>
          <w:sz w:val="24"/>
          <w:szCs w:val="24"/>
        </w:rPr>
        <w:t>Lagarde</w:t>
      </w:r>
      <w:proofErr w:type="spellEnd"/>
      <w:r w:rsidRPr="007D0D4F">
        <w:rPr>
          <w:rFonts w:ascii="Times New Roman" w:eastAsia="CharisSIL" w:hAnsi="Times New Roman" w:cs="Times New Roman"/>
          <w:sz w:val="24"/>
          <w:szCs w:val="24"/>
        </w:rPr>
        <w:t xml:space="preserve">, F., Falk, R., </w:t>
      </w:r>
      <w:proofErr w:type="spellStart"/>
      <w:r w:rsidRPr="007D0D4F">
        <w:rPr>
          <w:rFonts w:ascii="Times New Roman" w:eastAsia="CharisSIL" w:hAnsi="Times New Roman" w:cs="Times New Roman"/>
          <w:sz w:val="24"/>
          <w:szCs w:val="24"/>
        </w:rPr>
        <w:t>Almren</w:t>
      </w:r>
      <w:proofErr w:type="spellEnd"/>
      <w:r w:rsidRPr="007D0D4F">
        <w:rPr>
          <w:rFonts w:ascii="Times New Roman" w:eastAsia="CharisSIL" w:hAnsi="Times New Roman" w:cs="Times New Roman"/>
          <w:sz w:val="24"/>
          <w:szCs w:val="24"/>
        </w:rPr>
        <w:t xml:space="preserve">, K., Nyberg, F., </w:t>
      </w:r>
      <w:proofErr w:type="spellStart"/>
      <w:r w:rsidRPr="007D0D4F">
        <w:rPr>
          <w:rFonts w:ascii="Times New Roman" w:eastAsia="CharisSIL" w:hAnsi="Times New Roman" w:cs="Times New Roman"/>
          <w:sz w:val="24"/>
          <w:szCs w:val="24"/>
        </w:rPr>
        <w:t>Svensson</w:t>
      </w:r>
      <w:proofErr w:type="spellEnd"/>
      <w:r w:rsidRPr="007D0D4F">
        <w:rPr>
          <w:rFonts w:ascii="Times New Roman" w:eastAsia="CharisSIL" w:hAnsi="Times New Roman" w:cs="Times New Roman"/>
          <w:sz w:val="24"/>
          <w:szCs w:val="24"/>
        </w:rPr>
        <w:t xml:space="preserve">, H., </w:t>
      </w:r>
      <w:proofErr w:type="spellStart"/>
      <w:r w:rsidRPr="007D0D4F">
        <w:rPr>
          <w:rFonts w:ascii="Times New Roman" w:eastAsia="CharisSIL" w:hAnsi="Times New Roman" w:cs="Times New Roman"/>
          <w:sz w:val="24"/>
          <w:szCs w:val="24"/>
        </w:rPr>
        <w:t>Pershagen</w:t>
      </w:r>
      <w:proofErr w:type="spellEnd"/>
      <w:r w:rsidRPr="007D0D4F">
        <w:rPr>
          <w:rFonts w:ascii="Times New Roman" w:eastAsia="CharisSIL" w:hAnsi="Times New Roman" w:cs="Times New Roman"/>
          <w:sz w:val="24"/>
          <w:szCs w:val="24"/>
        </w:rPr>
        <w:t xml:space="preserve">, G., </w:t>
      </w:r>
      <w:r>
        <w:rPr>
          <w:rFonts w:ascii="Times New Roman" w:eastAsia="CharisSIL" w:hAnsi="Times New Roman" w:cs="Times New Roman"/>
          <w:sz w:val="24"/>
          <w:szCs w:val="24"/>
        </w:rPr>
        <w:t>(</w:t>
      </w:r>
      <w:r w:rsidRPr="007D0D4F">
        <w:rPr>
          <w:rFonts w:ascii="Times New Roman" w:eastAsia="CharisSIL" w:hAnsi="Times New Roman" w:cs="Times New Roman"/>
          <w:sz w:val="24"/>
          <w:szCs w:val="24"/>
        </w:rPr>
        <w:t>2002</w:t>
      </w:r>
      <w:r>
        <w:rPr>
          <w:rFonts w:ascii="Times New Roman" w:eastAsia="CharisSIL" w:hAnsi="Times New Roman" w:cs="Times New Roman"/>
          <w:sz w:val="24"/>
          <w:szCs w:val="24"/>
        </w:rPr>
        <w:t>)</w:t>
      </w:r>
      <w:r w:rsidRPr="007D0D4F">
        <w:rPr>
          <w:rFonts w:ascii="Times New Roman" w:eastAsia="CharisSIL" w:hAnsi="Times New Roman" w:cs="Times New Roman"/>
          <w:sz w:val="24"/>
          <w:szCs w:val="24"/>
        </w:rPr>
        <w:t>. Glass</w:t>
      </w:r>
      <w:r>
        <w:rPr>
          <w:rFonts w:ascii="Times New Roman" w:eastAsia="CharisSIL" w:hAnsi="Times New Roman" w:cs="Times New Roman"/>
          <w:sz w:val="24"/>
          <w:szCs w:val="24"/>
        </w:rPr>
        <w:t xml:space="preserve"> </w:t>
      </w:r>
      <w:r w:rsidRPr="007D0D4F">
        <w:rPr>
          <w:rFonts w:ascii="Times New Roman" w:eastAsia="CharisSIL" w:hAnsi="Times New Roman" w:cs="Times New Roman"/>
          <w:sz w:val="24"/>
          <w:szCs w:val="24"/>
        </w:rPr>
        <w:t>based</w:t>
      </w:r>
    </w:p>
    <w:p w:rsidR="001C5706" w:rsidRDefault="001C5706" w:rsidP="001C5706">
      <w:pPr>
        <w:autoSpaceDE w:val="0"/>
        <w:autoSpaceDN w:val="0"/>
        <w:adjustRightInd w:val="0"/>
        <w:spacing w:after="0" w:line="240" w:lineRule="auto"/>
        <w:rPr>
          <w:rFonts w:ascii="Times New Roman" w:eastAsia="CharisSIL" w:hAnsi="Times New Roman" w:cs="Times New Roman"/>
          <w:sz w:val="24"/>
          <w:szCs w:val="24"/>
        </w:rPr>
      </w:pPr>
      <w:proofErr w:type="gramStart"/>
      <w:r w:rsidRPr="007D0D4F">
        <w:rPr>
          <w:rFonts w:ascii="Times New Roman" w:eastAsia="CharisSIL" w:hAnsi="Times New Roman" w:cs="Times New Roman"/>
          <w:sz w:val="24"/>
          <w:szCs w:val="24"/>
        </w:rPr>
        <w:t>radon-exposure</w:t>
      </w:r>
      <w:proofErr w:type="gramEnd"/>
      <w:r w:rsidRPr="007D0D4F">
        <w:rPr>
          <w:rFonts w:ascii="Times New Roman" w:eastAsia="CharisSIL" w:hAnsi="Times New Roman" w:cs="Times New Roman"/>
          <w:sz w:val="24"/>
          <w:szCs w:val="24"/>
        </w:rPr>
        <w:t xml:space="preserve"> assessment and lung cancer risk. J. Expo.</w:t>
      </w:r>
      <w:r>
        <w:rPr>
          <w:rFonts w:ascii="Times New Roman" w:eastAsia="CharisSIL" w:hAnsi="Times New Roman" w:cs="Times New Roman"/>
          <w:sz w:val="24"/>
          <w:szCs w:val="24"/>
        </w:rPr>
        <w:t xml:space="preserve"> Anal. Environ. </w:t>
      </w:r>
      <w:proofErr w:type="spellStart"/>
      <w:r w:rsidRPr="007D0D4F">
        <w:rPr>
          <w:rFonts w:ascii="Times New Roman" w:eastAsia="CharisSIL" w:hAnsi="Times New Roman" w:cs="Times New Roman"/>
          <w:sz w:val="24"/>
          <w:szCs w:val="24"/>
        </w:rPr>
        <w:t>Epidemiol</w:t>
      </w:r>
      <w:proofErr w:type="spellEnd"/>
      <w:r w:rsidRPr="007D0D4F">
        <w:rPr>
          <w:rFonts w:ascii="Times New Roman" w:eastAsia="CharisSIL" w:hAnsi="Times New Roman" w:cs="Times New Roman"/>
          <w:sz w:val="24"/>
          <w:szCs w:val="24"/>
        </w:rPr>
        <w:t xml:space="preserve">. 12, 344–354. </w:t>
      </w:r>
      <w:hyperlink r:id="rId30" w:history="1">
        <w:r w:rsidRPr="00622325">
          <w:rPr>
            <w:rStyle w:val="Hyperlink"/>
            <w:rFonts w:ascii="Times New Roman" w:eastAsia="CharisSIL" w:hAnsi="Times New Roman" w:cs="Times New Roman"/>
            <w:sz w:val="24"/>
            <w:szCs w:val="24"/>
          </w:rPr>
          <w:t>https://doi.org/10.1038/sj.jea.7500236</w:t>
        </w:r>
      </w:hyperlink>
      <w:r w:rsidRPr="007D0D4F">
        <w:rPr>
          <w:rFonts w:ascii="Times New Roman" w:eastAsia="CharisSIL" w:hAnsi="Times New Roman" w:cs="Times New Roman"/>
          <w:sz w:val="24"/>
          <w:szCs w:val="24"/>
        </w:rPr>
        <w:t>.</w:t>
      </w:r>
    </w:p>
    <w:p w:rsidR="001C5706" w:rsidRPr="007D0D4F" w:rsidRDefault="001C5706" w:rsidP="001C5706">
      <w:pPr>
        <w:autoSpaceDE w:val="0"/>
        <w:autoSpaceDN w:val="0"/>
        <w:adjustRightInd w:val="0"/>
        <w:spacing w:after="0" w:line="240" w:lineRule="auto"/>
        <w:rPr>
          <w:rStyle w:val="Hyperlink"/>
          <w:rFonts w:ascii="Times New Roman" w:eastAsia="CharisSIL" w:hAnsi="Times New Roman" w:cs="Times New Roman"/>
          <w:color w:val="auto"/>
          <w:sz w:val="24"/>
          <w:szCs w:val="24"/>
          <w:u w:val="none"/>
        </w:rPr>
      </w:pPr>
    </w:p>
    <w:p w:rsidR="001C5706" w:rsidRPr="008350A6" w:rsidRDefault="001C5706" w:rsidP="001C5706">
      <w:pPr>
        <w:spacing w:after="120" w:line="240" w:lineRule="auto"/>
        <w:ind w:left="720" w:hanging="720"/>
        <w:jc w:val="both"/>
        <w:rPr>
          <w:rFonts w:ascii="Times New Roman" w:hAnsi="Times New Roman" w:cs="Times New Roman"/>
          <w:color w:val="0563C1" w:themeColor="hyperlink"/>
          <w:sz w:val="24"/>
          <w:szCs w:val="24"/>
          <w:u w:val="single"/>
        </w:rPr>
      </w:pPr>
      <w:r w:rsidRPr="00CF1670">
        <w:rPr>
          <w:rFonts w:ascii="Times New Roman" w:hAnsi="Times New Roman" w:cs="Times New Roman"/>
          <w:sz w:val="24"/>
          <w:szCs w:val="24"/>
        </w:rPr>
        <w:t>Lee G</w:t>
      </w:r>
      <w:r>
        <w:rPr>
          <w:rFonts w:ascii="Times New Roman" w:hAnsi="Times New Roman" w:cs="Times New Roman"/>
          <w:sz w:val="24"/>
          <w:szCs w:val="24"/>
        </w:rPr>
        <w:t>.</w:t>
      </w:r>
      <w:r w:rsidRPr="00CF1670">
        <w:rPr>
          <w:rFonts w:ascii="Times New Roman" w:hAnsi="Times New Roman" w:cs="Times New Roman"/>
          <w:sz w:val="24"/>
          <w:szCs w:val="24"/>
        </w:rPr>
        <w:t>W, Yang J</w:t>
      </w:r>
      <w:r>
        <w:rPr>
          <w:rFonts w:ascii="Times New Roman" w:hAnsi="Times New Roman" w:cs="Times New Roman"/>
          <w:sz w:val="24"/>
          <w:szCs w:val="24"/>
        </w:rPr>
        <w:t>.</w:t>
      </w:r>
      <w:r w:rsidRPr="00CF1670">
        <w:rPr>
          <w:rFonts w:ascii="Times New Roman" w:hAnsi="Times New Roman" w:cs="Times New Roman"/>
          <w:sz w:val="24"/>
          <w:szCs w:val="24"/>
        </w:rPr>
        <w:t>Y, Kim H</w:t>
      </w:r>
      <w:r>
        <w:rPr>
          <w:rFonts w:ascii="Times New Roman" w:hAnsi="Times New Roman" w:cs="Times New Roman"/>
          <w:sz w:val="24"/>
          <w:szCs w:val="24"/>
        </w:rPr>
        <w:t>.</w:t>
      </w:r>
      <w:r w:rsidRPr="00CF1670">
        <w:rPr>
          <w:rFonts w:ascii="Times New Roman" w:hAnsi="Times New Roman" w:cs="Times New Roman"/>
          <w:sz w:val="24"/>
          <w:szCs w:val="24"/>
        </w:rPr>
        <w:t>J, Kwon M</w:t>
      </w:r>
      <w:r>
        <w:rPr>
          <w:rFonts w:ascii="Times New Roman" w:hAnsi="Times New Roman" w:cs="Times New Roman"/>
          <w:sz w:val="24"/>
          <w:szCs w:val="24"/>
        </w:rPr>
        <w:t>.</w:t>
      </w:r>
      <w:r w:rsidRPr="00CF1670">
        <w:rPr>
          <w:rFonts w:ascii="Times New Roman" w:hAnsi="Times New Roman" w:cs="Times New Roman"/>
          <w:sz w:val="24"/>
          <w:szCs w:val="24"/>
        </w:rPr>
        <w:t>H, Lee WS, Kim G</w:t>
      </w:r>
      <w:r>
        <w:rPr>
          <w:rFonts w:ascii="Times New Roman" w:hAnsi="Times New Roman" w:cs="Times New Roman"/>
          <w:sz w:val="24"/>
          <w:szCs w:val="24"/>
        </w:rPr>
        <w:t>.</w:t>
      </w:r>
      <w:r w:rsidRPr="00CF1670">
        <w:rPr>
          <w:rFonts w:ascii="Times New Roman" w:hAnsi="Times New Roman" w:cs="Times New Roman"/>
          <w:sz w:val="24"/>
          <w:szCs w:val="24"/>
        </w:rPr>
        <w:t>H, Shin D</w:t>
      </w:r>
      <w:r>
        <w:rPr>
          <w:rFonts w:ascii="Times New Roman" w:hAnsi="Times New Roman" w:cs="Times New Roman"/>
          <w:sz w:val="24"/>
          <w:szCs w:val="24"/>
        </w:rPr>
        <w:t>.</w:t>
      </w:r>
      <w:r w:rsidRPr="00CF1670">
        <w:rPr>
          <w:rFonts w:ascii="Times New Roman" w:hAnsi="Times New Roman" w:cs="Times New Roman"/>
          <w:sz w:val="24"/>
          <w:szCs w:val="24"/>
        </w:rPr>
        <w:t>C and Lim Y</w:t>
      </w:r>
      <w:r>
        <w:rPr>
          <w:rFonts w:ascii="Times New Roman" w:hAnsi="Times New Roman" w:cs="Times New Roman"/>
          <w:sz w:val="24"/>
          <w:szCs w:val="24"/>
        </w:rPr>
        <w:t>.</w:t>
      </w:r>
      <w:r w:rsidRPr="00CF1670">
        <w:rPr>
          <w:rFonts w:ascii="Times New Roman" w:hAnsi="Times New Roman" w:cs="Times New Roman"/>
          <w:sz w:val="24"/>
          <w:szCs w:val="24"/>
        </w:rPr>
        <w:t>W</w:t>
      </w:r>
      <w:r>
        <w:rPr>
          <w:rFonts w:ascii="Times New Roman" w:hAnsi="Times New Roman" w:cs="Times New Roman"/>
          <w:sz w:val="24"/>
          <w:szCs w:val="24"/>
        </w:rPr>
        <w:t xml:space="preserve"> (2017)</w:t>
      </w:r>
      <w:r w:rsidRPr="00CF1670">
        <w:rPr>
          <w:rFonts w:ascii="Times New Roman" w:hAnsi="Times New Roman" w:cs="Times New Roman"/>
          <w:sz w:val="24"/>
          <w:szCs w:val="24"/>
        </w:rPr>
        <w:t>. Estimation of health risk</w:t>
      </w:r>
      <w:r>
        <w:rPr>
          <w:rFonts w:ascii="Times New Roman" w:hAnsi="Times New Roman" w:cs="Times New Roman"/>
          <w:color w:val="0563C1" w:themeColor="hyperlink"/>
          <w:sz w:val="24"/>
          <w:szCs w:val="24"/>
          <w:u w:val="single"/>
        </w:rPr>
        <w:t xml:space="preserve"> </w:t>
      </w:r>
      <w:r w:rsidRPr="00CF1670">
        <w:rPr>
          <w:rFonts w:ascii="Times New Roman" w:hAnsi="Times New Roman" w:cs="Times New Roman"/>
          <w:sz w:val="24"/>
          <w:szCs w:val="24"/>
        </w:rPr>
        <w:t>and effective dose based on measured radon levels in Korean homes and a quali</w:t>
      </w:r>
      <w:r>
        <w:rPr>
          <w:rFonts w:ascii="Times New Roman" w:hAnsi="Times New Roman" w:cs="Times New Roman"/>
          <w:sz w:val="24"/>
          <w:szCs w:val="24"/>
        </w:rPr>
        <w:t xml:space="preserve">tative assessment for resident’s </w:t>
      </w:r>
      <w:r w:rsidRPr="00CF1670">
        <w:rPr>
          <w:rFonts w:ascii="Times New Roman" w:hAnsi="Times New Roman" w:cs="Times New Roman"/>
          <w:sz w:val="24"/>
          <w:szCs w:val="24"/>
        </w:rPr>
        <w:t>radon awareness. Indoor Built Environ 2017; 26: 1123–1134.</w:t>
      </w:r>
    </w:p>
    <w:p w:rsidR="001C5706" w:rsidRDefault="001C5706" w:rsidP="001C5706">
      <w:pPr>
        <w:spacing w:after="120" w:line="240" w:lineRule="auto"/>
        <w:ind w:left="720" w:hanging="720"/>
        <w:jc w:val="both"/>
        <w:rPr>
          <w:rFonts w:ascii="Times New Roman" w:hAnsi="Times New Roman" w:cs="Times New Roman"/>
          <w:color w:val="282828"/>
          <w:sz w:val="24"/>
          <w:szCs w:val="24"/>
          <w:shd w:val="clear" w:color="auto" w:fill="F7F7F7"/>
        </w:rPr>
      </w:pPr>
      <w:proofErr w:type="spellStart"/>
      <w:r w:rsidRPr="00836AEF">
        <w:rPr>
          <w:rFonts w:ascii="Times New Roman" w:hAnsi="Times New Roman" w:cs="Times New Roman"/>
          <w:color w:val="282828"/>
          <w:sz w:val="24"/>
          <w:szCs w:val="24"/>
          <w:shd w:val="clear" w:color="auto" w:fill="F7F7F7"/>
        </w:rPr>
        <w:t>Luthey-Schulten</w:t>
      </w:r>
      <w:proofErr w:type="spellEnd"/>
      <w:r w:rsidRPr="00836AEF">
        <w:rPr>
          <w:rFonts w:ascii="Times New Roman" w:hAnsi="Times New Roman" w:cs="Times New Roman"/>
          <w:color w:val="282828"/>
          <w:sz w:val="24"/>
          <w:szCs w:val="24"/>
          <w:shd w:val="clear" w:color="auto" w:fill="F7F7F7"/>
        </w:rPr>
        <w:t>, Z., Thornburg, Z. R., and Gilbert, B. R. (2022). ‘Integrating cellular and molecular structures and dynamics into whole-cell models’. </w:t>
      </w:r>
      <w:proofErr w:type="spellStart"/>
      <w:r w:rsidRPr="00836AEF">
        <w:rPr>
          <w:rStyle w:val="Emphasis"/>
          <w:rFonts w:ascii="Times New Roman" w:hAnsi="Times New Roman" w:cs="Times New Roman"/>
          <w:color w:val="282828"/>
          <w:sz w:val="24"/>
          <w:szCs w:val="24"/>
          <w:shd w:val="clear" w:color="auto" w:fill="F7F7F7"/>
        </w:rPr>
        <w:t>Curr</w:t>
      </w:r>
      <w:proofErr w:type="spellEnd"/>
      <w:r w:rsidRPr="00836AEF">
        <w:rPr>
          <w:rStyle w:val="Emphasis"/>
          <w:rFonts w:ascii="Times New Roman" w:hAnsi="Times New Roman" w:cs="Times New Roman"/>
          <w:color w:val="282828"/>
          <w:sz w:val="24"/>
          <w:szCs w:val="24"/>
          <w:shd w:val="clear" w:color="auto" w:fill="F7F7F7"/>
        </w:rPr>
        <w:t xml:space="preserve">. </w:t>
      </w:r>
      <w:proofErr w:type="spellStart"/>
      <w:r w:rsidRPr="00836AEF">
        <w:rPr>
          <w:rStyle w:val="Emphasis"/>
          <w:rFonts w:ascii="Times New Roman" w:hAnsi="Times New Roman" w:cs="Times New Roman"/>
          <w:color w:val="282828"/>
          <w:sz w:val="24"/>
          <w:szCs w:val="24"/>
          <w:shd w:val="clear" w:color="auto" w:fill="F7F7F7"/>
        </w:rPr>
        <w:t>Opin</w:t>
      </w:r>
      <w:proofErr w:type="spellEnd"/>
      <w:r w:rsidRPr="00836AEF">
        <w:rPr>
          <w:rStyle w:val="Emphasis"/>
          <w:rFonts w:ascii="Times New Roman" w:hAnsi="Times New Roman" w:cs="Times New Roman"/>
          <w:color w:val="282828"/>
          <w:sz w:val="24"/>
          <w:szCs w:val="24"/>
          <w:shd w:val="clear" w:color="auto" w:fill="F7F7F7"/>
        </w:rPr>
        <w:t xml:space="preserve">. </w:t>
      </w:r>
      <w:proofErr w:type="spellStart"/>
      <w:r w:rsidRPr="00836AEF">
        <w:rPr>
          <w:rStyle w:val="Emphasis"/>
          <w:rFonts w:ascii="Times New Roman" w:hAnsi="Times New Roman" w:cs="Times New Roman"/>
          <w:color w:val="282828"/>
          <w:sz w:val="24"/>
          <w:szCs w:val="24"/>
          <w:shd w:val="clear" w:color="auto" w:fill="F7F7F7"/>
        </w:rPr>
        <w:t>Struct</w:t>
      </w:r>
      <w:proofErr w:type="spellEnd"/>
      <w:r w:rsidRPr="00836AEF">
        <w:rPr>
          <w:rStyle w:val="Emphasis"/>
          <w:rFonts w:ascii="Times New Roman" w:hAnsi="Times New Roman" w:cs="Times New Roman"/>
          <w:color w:val="282828"/>
          <w:sz w:val="24"/>
          <w:szCs w:val="24"/>
          <w:shd w:val="clear" w:color="auto" w:fill="F7F7F7"/>
        </w:rPr>
        <w:t>. Biol.</w:t>
      </w:r>
      <w:r w:rsidRPr="00836AEF">
        <w:rPr>
          <w:rFonts w:ascii="Times New Roman" w:hAnsi="Times New Roman" w:cs="Times New Roman"/>
          <w:color w:val="282828"/>
          <w:sz w:val="24"/>
          <w:szCs w:val="24"/>
          <w:shd w:val="clear" w:color="auto" w:fill="F7F7F7"/>
        </w:rPr>
        <w:t> 75, 102392. doi:10.1016/j.sbi.2022.102392</w:t>
      </w:r>
    </w:p>
    <w:p w:rsidR="001C5706" w:rsidRPr="00E00D1A" w:rsidRDefault="001C5706" w:rsidP="001C5706">
      <w:pPr>
        <w:spacing w:after="120" w:line="240" w:lineRule="auto"/>
        <w:ind w:left="720" w:hanging="720"/>
        <w:jc w:val="both"/>
        <w:rPr>
          <w:rFonts w:ascii="Times New Roman" w:hAnsi="Times New Roman" w:cs="Times New Roman"/>
          <w:color w:val="282828"/>
          <w:sz w:val="24"/>
          <w:szCs w:val="24"/>
          <w:shd w:val="clear" w:color="auto" w:fill="F7F7F7"/>
        </w:rPr>
      </w:pPr>
      <w:proofErr w:type="spellStart"/>
      <w:r w:rsidRPr="00E00D1A">
        <w:rPr>
          <w:rFonts w:ascii="Times New Roman" w:hAnsi="Times New Roman" w:cs="Times New Roman"/>
          <w:sz w:val="24"/>
          <w:szCs w:val="24"/>
        </w:rPr>
        <w:t>Parkin</w:t>
      </w:r>
      <w:proofErr w:type="spellEnd"/>
      <w:r w:rsidRPr="00E00D1A">
        <w:rPr>
          <w:rFonts w:ascii="Times New Roman" w:hAnsi="Times New Roman" w:cs="Times New Roman"/>
          <w:sz w:val="24"/>
          <w:szCs w:val="24"/>
        </w:rPr>
        <w:t xml:space="preserve"> DM and Darby S</w:t>
      </w:r>
      <w:r>
        <w:rPr>
          <w:rFonts w:ascii="Times New Roman" w:hAnsi="Times New Roman" w:cs="Times New Roman"/>
          <w:sz w:val="24"/>
          <w:szCs w:val="24"/>
        </w:rPr>
        <w:t xml:space="preserve"> (2011)</w:t>
      </w:r>
      <w:r w:rsidRPr="00E00D1A">
        <w:rPr>
          <w:rFonts w:ascii="Times New Roman" w:hAnsi="Times New Roman" w:cs="Times New Roman"/>
          <w:sz w:val="24"/>
          <w:szCs w:val="24"/>
        </w:rPr>
        <w:t xml:space="preserve">. Cancers in 2010 attributable to </w:t>
      </w:r>
      <w:proofErr w:type="spellStart"/>
      <w:r w:rsidRPr="00E00D1A">
        <w:rPr>
          <w:rFonts w:ascii="Times New Roman" w:hAnsi="Times New Roman" w:cs="Times New Roman"/>
          <w:sz w:val="24"/>
          <w:szCs w:val="24"/>
        </w:rPr>
        <w:t>ionising</w:t>
      </w:r>
      <w:proofErr w:type="spellEnd"/>
      <w:r w:rsidRPr="00E00D1A">
        <w:rPr>
          <w:rFonts w:ascii="Times New Roman" w:hAnsi="Times New Roman" w:cs="Times New Roman"/>
          <w:sz w:val="24"/>
          <w:szCs w:val="24"/>
        </w:rPr>
        <w:t xml:space="preserve"> radiation exposure in the UK. Br J Cancer </w:t>
      </w:r>
      <w:r>
        <w:rPr>
          <w:rFonts w:ascii="Times New Roman" w:hAnsi="Times New Roman" w:cs="Times New Roman"/>
          <w:sz w:val="24"/>
          <w:szCs w:val="24"/>
        </w:rPr>
        <w:t xml:space="preserve">2011; </w:t>
      </w:r>
      <w:r w:rsidRPr="00E00D1A">
        <w:rPr>
          <w:rFonts w:ascii="Times New Roman" w:hAnsi="Times New Roman" w:cs="Times New Roman"/>
          <w:sz w:val="24"/>
          <w:szCs w:val="24"/>
        </w:rPr>
        <w:t>105: S57–S65.</w:t>
      </w:r>
    </w:p>
    <w:p w:rsidR="001C5706" w:rsidRPr="00836AEF" w:rsidRDefault="001C5706" w:rsidP="001C5706">
      <w:pPr>
        <w:spacing w:after="120" w:line="240" w:lineRule="auto"/>
        <w:ind w:left="720" w:hanging="720"/>
        <w:jc w:val="both"/>
        <w:rPr>
          <w:rStyle w:val="Hyperlink"/>
          <w:rFonts w:ascii="Times New Roman" w:hAnsi="Times New Roman" w:cs="Times New Roman"/>
          <w:sz w:val="24"/>
          <w:szCs w:val="24"/>
        </w:rPr>
      </w:pPr>
      <w:r w:rsidRPr="00836AEF">
        <w:rPr>
          <w:rFonts w:ascii="Times New Roman" w:hAnsi="Times New Roman" w:cs="Times New Roman"/>
          <w:sz w:val="24"/>
          <w:szCs w:val="24"/>
        </w:rPr>
        <w:t xml:space="preserve">Rabi, R., </w:t>
      </w:r>
      <w:proofErr w:type="spellStart"/>
      <w:r w:rsidRPr="00836AEF">
        <w:rPr>
          <w:rFonts w:ascii="Times New Roman" w:hAnsi="Times New Roman" w:cs="Times New Roman"/>
          <w:sz w:val="24"/>
          <w:szCs w:val="24"/>
        </w:rPr>
        <w:t>Oufni</w:t>
      </w:r>
      <w:proofErr w:type="spellEnd"/>
      <w:r w:rsidRPr="00836AEF">
        <w:rPr>
          <w:rFonts w:ascii="Times New Roman" w:hAnsi="Times New Roman" w:cs="Times New Roman"/>
          <w:sz w:val="24"/>
          <w:szCs w:val="24"/>
        </w:rPr>
        <w:t xml:space="preserve">, L., </w:t>
      </w:r>
      <w:proofErr w:type="spellStart"/>
      <w:r w:rsidRPr="00836AEF">
        <w:rPr>
          <w:rFonts w:ascii="Times New Roman" w:hAnsi="Times New Roman" w:cs="Times New Roman"/>
          <w:sz w:val="24"/>
          <w:szCs w:val="24"/>
        </w:rPr>
        <w:t>Cheikh</w:t>
      </w:r>
      <w:proofErr w:type="spellEnd"/>
      <w:r w:rsidRPr="00836AEF">
        <w:rPr>
          <w:rFonts w:ascii="Times New Roman" w:hAnsi="Times New Roman" w:cs="Times New Roman"/>
          <w:sz w:val="24"/>
          <w:szCs w:val="24"/>
        </w:rPr>
        <w:t xml:space="preserve">, K., </w:t>
      </w:r>
      <w:proofErr w:type="spellStart"/>
      <w:r w:rsidRPr="00836AEF">
        <w:rPr>
          <w:rFonts w:ascii="Times New Roman" w:hAnsi="Times New Roman" w:cs="Times New Roman"/>
          <w:sz w:val="24"/>
          <w:szCs w:val="24"/>
        </w:rPr>
        <w:t>Youssoufi</w:t>
      </w:r>
      <w:proofErr w:type="spellEnd"/>
      <w:r w:rsidRPr="00836AEF">
        <w:rPr>
          <w:rFonts w:ascii="Times New Roman" w:hAnsi="Times New Roman" w:cs="Times New Roman"/>
          <w:sz w:val="24"/>
          <w:szCs w:val="24"/>
        </w:rPr>
        <w:t xml:space="preserve">, E., </w:t>
      </w:r>
      <w:proofErr w:type="spellStart"/>
      <w:r w:rsidRPr="00836AEF">
        <w:rPr>
          <w:rFonts w:ascii="Times New Roman" w:hAnsi="Times New Roman" w:cs="Times New Roman"/>
          <w:sz w:val="24"/>
          <w:szCs w:val="24"/>
        </w:rPr>
        <w:t>Badry</w:t>
      </w:r>
      <w:proofErr w:type="spellEnd"/>
      <w:r w:rsidRPr="00836AEF">
        <w:rPr>
          <w:rFonts w:ascii="Times New Roman" w:hAnsi="Times New Roman" w:cs="Times New Roman"/>
          <w:sz w:val="24"/>
          <w:szCs w:val="24"/>
        </w:rPr>
        <w:t xml:space="preserve">, H., &amp; </w:t>
      </w:r>
      <w:proofErr w:type="spellStart"/>
      <w:r w:rsidRPr="00836AEF">
        <w:rPr>
          <w:rFonts w:ascii="Times New Roman" w:hAnsi="Times New Roman" w:cs="Times New Roman"/>
          <w:sz w:val="24"/>
          <w:szCs w:val="24"/>
        </w:rPr>
        <w:t>Errami</w:t>
      </w:r>
      <w:proofErr w:type="spellEnd"/>
      <w:r w:rsidRPr="00836AEF">
        <w:rPr>
          <w:rFonts w:ascii="Times New Roman" w:hAnsi="Times New Roman" w:cs="Times New Roman"/>
          <w:sz w:val="24"/>
          <w:szCs w:val="24"/>
        </w:rPr>
        <w:t xml:space="preserve">, Y. (2021). CFD modelling of radiation exposure from inhalation of radon decay products during showering. </w:t>
      </w:r>
      <w:r w:rsidRPr="00836AEF">
        <w:rPr>
          <w:rFonts w:ascii="Times New Roman" w:hAnsi="Times New Roman" w:cs="Times New Roman"/>
          <w:i/>
          <w:iCs/>
          <w:sz w:val="24"/>
          <w:szCs w:val="24"/>
        </w:rPr>
        <w:t xml:space="preserve">International Journal of Heat and Technology, 7, 1, </w:t>
      </w:r>
      <w:r w:rsidRPr="00836AEF">
        <w:rPr>
          <w:rFonts w:ascii="Times New Roman" w:hAnsi="Times New Roman" w:cs="Times New Roman"/>
          <w:sz w:val="24"/>
          <w:szCs w:val="24"/>
        </w:rPr>
        <w:t xml:space="preserve">pp. 15–20. </w:t>
      </w:r>
      <w:hyperlink r:id="rId31" w:history="1">
        <w:r w:rsidRPr="00836AEF">
          <w:rPr>
            <w:rStyle w:val="Hyperlink"/>
            <w:rFonts w:ascii="Times New Roman" w:hAnsi="Times New Roman" w:cs="Times New Roman"/>
            <w:sz w:val="24"/>
            <w:szCs w:val="24"/>
          </w:rPr>
          <w:t>https://doi.org/10.11648/j.rst.20210701.13</w:t>
        </w:r>
      </w:hyperlink>
    </w:p>
    <w:p w:rsidR="001C5706" w:rsidRPr="00836AEF" w:rsidRDefault="001C5706" w:rsidP="001C5706">
      <w:pPr>
        <w:spacing w:after="120" w:line="240" w:lineRule="auto"/>
        <w:ind w:left="720" w:hanging="720"/>
        <w:jc w:val="both"/>
        <w:rPr>
          <w:rStyle w:val="Hyperlink"/>
          <w:rFonts w:ascii="Times New Roman" w:hAnsi="Times New Roman" w:cs="Times New Roman"/>
          <w:sz w:val="24"/>
          <w:szCs w:val="24"/>
        </w:rPr>
      </w:pPr>
      <w:r w:rsidRPr="00836AEF">
        <w:rPr>
          <w:rFonts w:ascii="Times New Roman" w:hAnsi="Times New Roman" w:cs="Times New Roman"/>
          <w:sz w:val="24"/>
          <w:szCs w:val="24"/>
        </w:rPr>
        <w:t xml:space="preserve">Rabi, R., </w:t>
      </w:r>
      <w:proofErr w:type="spellStart"/>
      <w:r w:rsidRPr="00836AEF">
        <w:rPr>
          <w:rFonts w:ascii="Times New Roman" w:hAnsi="Times New Roman" w:cs="Times New Roman"/>
          <w:sz w:val="24"/>
          <w:szCs w:val="24"/>
        </w:rPr>
        <w:t>Oufni</w:t>
      </w:r>
      <w:proofErr w:type="spellEnd"/>
      <w:r w:rsidRPr="00836AEF">
        <w:rPr>
          <w:rFonts w:ascii="Times New Roman" w:hAnsi="Times New Roman" w:cs="Times New Roman"/>
          <w:sz w:val="24"/>
          <w:szCs w:val="24"/>
        </w:rPr>
        <w:t xml:space="preserve">, L., </w:t>
      </w:r>
      <w:proofErr w:type="spellStart"/>
      <w:r w:rsidRPr="00836AEF">
        <w:rPr>
          <w:rFonts w:ascii="Times New Roman" w:hAnsi="Times New Roman" w:cs="Times New Roman"/>
          <w:sz w:val="24"/>
          <w:szCs w:val="24"/>
        </w:rPr>
        <w:t>Cheikh</w:t>
      </w:r>
      <w:proofErr w:type="spellEnd"/>
      <w:r w:rsidRPr="00836AEF">
        <w:rPr>
          <w:rFonts w:ascii="Times New Roman" w:hAnsi="Times New Roman" w:cs="Times New Roman"/>
          <w:sz w:val="24"/>
          <w:szCs w:val="24"/>
        </w:rPr>
        <w:t xml:space="preserve">, K., </w:t>
      </w:r>
      <w:proofErr w:type="spellStart"/>
      <w:r w:rsidRPr="00836AEF">
        <w:rPr>
          <w:rFonts w:ascii="Times New Roman" w:hAnsi="Times New Roman" w:cs="Times New Roman"/>
          <w:sz w:val="24"/>
          <w:szCs w:val="24"/>
        </w:rPr>
        <w:t>Youssoufi</w:t>
      </w:r>
      <w:proofErr w:type="spellEnd"/>
      <w:r w:rsidRPr="00836AEF">
        <w:rPr>
          <w:rFonts w:ascii="Times New Roman" w:hAnsi="Times New Roman" w:cs="Times New Roman"/>
          <w:sz w:val="24"/>
          <w:szCs w:val="24"/>
        </w:rPr>
        <w:t xml:space="preserve">, E.-H., </w:t>
      </w:r>
      <w:proofErr w:type="spellStart"/>
      <w:r w:rsidRPr="00836AEF">
        <w:rPr>
          <w:rFonts w:ascii="Times New Roman" w:hAnsi="Times New Roman" w:cs="Times New Roman"/>
          <w:sz w:val="24"/>
          <w:szCs w:val="24"/>
        </w:rPr>
        <w:t>Badry</w:t>
      </w:r>
      <w:proofErr w:type="spellEnd"/>
      <w:r w:rsidRPr="00836AEF">
        <w:rPr>
          <w:rFonts w:ascii="Times New Roman" w:hAnsi="Times New Roman" w:cs="Times New Roman"/>
          <w:sz w:val="24"/>
          <w:szCs w:val="24"/>
        </w:rPr>
        <w:t xml:space="preserve">, H., &amp; </w:t>
      </w:r>
      <w:proofErr w:type="spellStart"/>
      <w:r w:rsidRPr="00836AEF">
        <w:rPr>
          <w:rFonts w:ascii="Times New Roman" w:hAnsi="Times New Roman" w:cs="Times New Roman"/>
          <w:sz w:val="24"/>
          <w:szCs w:val="24"/>
        </w:rPr>
        <w:t>Errami</w:t>
      </w:r>
      <w:proofErr w:type="spellEnd"/>
      <w:r w:rsidRPr="00836AEF">
        <w:rPr>
          <w:rFonts w:ascii="Times New Roman" w:hAnsi="Times New Roman" w:cs="Times New Roman"/>
          <w:sz w:val="24"/>
          <w:szCs w:val="24"/>
        </w:rPr>
        <w:t xml:space="preserve">, Y. (2021). Modeling of radon and its short-lived decay products during showering: Dose to adult members of the public. </w:t>
      </w:r>
      <w:r w:rsidRPr="00836AEF">
        <w:rPr>
          <w:rFonts w:ascii="Times New Roman" w:hAnsi="Times New Roman" w:cs="Times New Roman"/>
          <w:i/>
          <w:iCs/>
          <w:sz w:val="24"/>
          <w:szCs w:val="24"/>
        </w:rPr>
        <w:t xml:space="preserve">World Journal of Nuclear Science and Technology, 11, 2, </w:t>
      </w:r>
      <w:r w:rsidRPr="00836AEF">
        <w:rPr>
          <w:rFonts w:ascii="Times New Roman" w:hAnsi="Times New Roman" w:cs="Times New Roman"/>
          <w:sz w:val="24"/>
          <w:szCs w:val="24"/>
        </w:rPr>
        <w:t xml:space="preserve">pp. 84–99. </w:t>
      </w:r>
      <w:hyperlink r:id="rId32" w:history="1">
        <w:r w:rsidRPr="00836AEF">
          <w:rPr>
            <w:rStyle w:val="Hyperlink"/>
            <w:rFonts w:ascii="Times New Roman" w:hAnsi="Times New Roman" w:cs="Times New Roman"/>
            <w:sz w:val="24"/>
            <w:szCs w:val="24"/>
          </w:rPr>
          <w:t>https://doi.org/10.4236/wjnst.2021.112006</w:t>
        </w:r>
      </w:hyperlink>
    </w:p>
    <w:p w:rsidR="001C5706" w:rsidRPr="00836AEF"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lastRenderedPageBreak/>
        <w:t xml:space="preserve">Rodriguez-Martinez, A., Torres-Duran, M., Barros-Dios, J. M., &amp; </w:t>
      </w:r>
      <w:proofErr w:type="spellStart"/>
      <w:r w:rsidRPr="00836AEF">
        <w:rPr>
          <w:rFonts w:ascii="Times New Roman" w:hAnsi="Times New Roman" w:cs="Times New Roman"/>
          <w:sz w:val="24"/>
          <w:szCs w:val="24"/>
        </w:rPr>
        <w:t>Ruano-Ravina</w:t>
      </w:r>
      <w:proofErr w:type="spellEnd"/>
      <w:r w:rsidRPr="00836AEF">
        <w:rPr>
          <w:rFonts w:ascii="Times New Roman" w:hAnsi="Times New Roman" w:cs="Times New Roman"/>
          <w:sz w:val="24"/>
          <w:szCs w:val="24"/>
        </w:rPr>
        <w:t xml:space="preserve">, A. (2018). Residential radon and small cell lung cancer: A systematic review. Cancer Letters, 426, 57–62. </w:t>
      </w:r>
      <w:hyperlink r:id="rId33" w:history="1">
        <w:r w:rsidRPr="00836AEF">
          <w:rPr>
            <w:rStyle w:val="Hyperlink"/>
            <w:rFonts w:ascii="Times New Roman" w:hAnsi="Times New Roman" w:cs="Times New Roman"/>
            <w:sz w:val="24"/>
            <w:szCs w:val="24"/>
          </w:rPr>
          <w:t>https://doi.org/10.1016/j.canlet.2018.04.003</w:t>
        </w:r>
      </w:hyperlink>
    </w:p>
    <w:p w:rsidR="001C5706" w:rsidRPr="00836AEF" w:rsidRDefault="001C5706" w:rsidP="001C5706">
      <w:pPr>
        <w:spacing w:after="120" w:line="240" w:lineRule="auto"/>
        <w:ind w:left="720" w:hanging="720"/>
        <w:jc w:val="both"/>
        <w:rPr>
          <w:rStyle w:val="Hyperlink"/>
          <w:rFonts w:ascii="Times New Roman" w:hAnsi="Times New Roman" w:cs="Times New Roman"/>
          <w:sz w:val="24"/>
          <w:szCs w:val="24"/>
          <w:shd w:val="clear" w:color="auto" w:fill="FFFFFF"/>
        </w:rPr>
      </w:pPr>
      <w:proofErr w:type="spellStart"/>
      <w:r w:rsidRPr="00836AEF">
        <w:rPr>
          <w:rFonts w:ascii="Times New Roman" w:hAnsi="Times New Roman" w:cs="Times New Roman"/>
          <w:color w:val="202020"/>
          <w:sz w:val="24"/>
          <w:szCs w:val="24"/>
          <w:shd w:val="clear" w:color="auto" w:fill="FFFFFF"/>
        </w:rPr>
        <w:t>Umegaki</w:t>
      </w:r>
      <w:proofErr w:type="spellEnd"/>
      <w:r w:rsidRPr="00836AEF">
        <w:rPr>
          <w:rFonts w:ascii="Times New Roman" w:hAnsi="Times New Roman" w:cs="Times New Roman"/>
          <w:color w:val="202020"/>
          <w:sz w:val="24"/>
          <w:szCs w:val="24"/>
          <w:shd w:val="clear" w:color="auto" w:fill="FFFFFF"/>
        </w:rPr>
        <w:t xml:space="preserve"> T, </w:t>
      </w:r>
      <w:proofErr w:type="spellStart"/>
      <w:r w:rsidRPr="00836AEF">
        <w:rPr>
          <w:rFonts w:ascii="Times New Roman" w:hAnsi="Times New Roman" w:cs="Times New Roman"/>
          <w:color w:val="202020"/>
          <w:sz w:val="24"/>
          <w:szCs w:val="24"/>
          <w:shd w:val="clear" w:color="auto" w:fill="FFFFFF"/>
        </w:rPr>
        <w:t>Moriizumi</w:t>
      </w:r>
      <w:proofErr w:type="spellEnd"/>
      <w:r w:rsidRPr="00836AEF">
        <w:rPr>
          <w:rFonts w:ascii="Times New Roman" w:hAnsi="Times New Roman" w:cs="Times New Roman"/>
          <w:color w:val="202020"/>
          <w:sz w:val="24"/>
          <w:szCs w:val="24"/>
          <w:shd w:val="clear" w:color="auto" w:fill="FFFFFF"/>
        </w:rPr>
        <w:t xml:space="preserve"> H, Ogushi F, </w:t>
      </w:r>
      <w:proofErr w:type="spellStart"/>
      <w:r w:rsidRPr="00836AEF">
        <w:rPr>
          <w:rFonts w:ascii="Times New Roman" w:hAnsi="Times New Roman" w:cs="Times New Roman"/>
          <w:color w:val="202020"/>
          <w:sz w:val="24"/>
          <w:szCs w:val="24"/>
          <w:shd w:val="clear" w:color="auto" w:fill="FFFFFF"/>
        </w:rPr>
        <w:t>Takekawa</w:t>
      </w:r>
      <w:proofErr w:type="spellEnd"/>
      <w:r w:rsidRPr="00836AEF">
        <w:rPr>
          <w:rFonts w:ascii="Times New Roman" w:hAnsi="Times New Roman" w:cs="Times New Roman"/>
          <w:color w:val="202020"/>
          <w:sz w:val="24"/>
          <w:szCs w:val="24"/>
          <w:shd w:val="clear" w:color="auto" w:fill="FFFFFF"/>
        </w:rPr>
        <w:t xml:space="preserve"> M, Suzuki T (2024) Molecular dynamics simulations of a multicellular model with cell-cell interactions and Hippo signaling pathway. </w:t>
      </w:r>
      <w:proofErr w:type="spellStart"/>
      <w:r w:rsidRPr="00836AEF">
        <w:rPr>
          <w:rFonts w:ascii="Times New Roman" w:hAnsi="Times New Roman" w:cs="Times New Roman"/>
          <w:color w:val="202020"/>
          <w:sz w:val="24"/>
          <w:szCs w:val="24"/>
          <w:shd w:val="clear" w:color="auto" w:fill="FFFFFF"/>
        </w:rPr>
        <w:t>PLoS</w:t>
      </w:r>
      <w:proofErr w:type="spellEnd"/>
      <w:r w:rsidRPr="00836AEF">
        <w:rPr>
          <w:rFonts w:ascii="Times New Roman" w:hAnsi="Times New Roman" w:cs="Times New Roman"/>
          <w:color w:val="202020"/>
          <w:sz w:val="24"/>
          <w:szCs w:val="24"/>
          <w:shd w:val="clear" w:color="auto" w:fill="FFFFFF"/>
        </w:rPr>
        <w:t xml:space="preserve"> </w:t>
      </w:r>
      <w:proofErr w:type="spellStart"/>
      <w:r w:rsidRPr="00836AEF">
        <w:rPr>
          <w:rFonts w:ascii="Times New Roman" w:hAnsi="Times New Roman" w:cs="Times New Roman"/>
          <w:color w:val="202020"/>
          <w:sz w:val="24"/>
          <w:szCs w:val="24"/>
          <w:shd w:val="clear" w:color="auto" w:fill="FFFFFF"/>
        </w:rPr>
        <w:t>Comput</w:t>
      </w:r>
      <w:proofErr w:type="spellEnd"/>
      <w:r w:rsidRPr="00836AEF">
        <w:rPr>
          <w:rFonts w:ascii="Times New Roman" w:hAnsi="Times New Roman" w:cs="Times New Roman"/>
          <w:color w:val="202020"/>
          <w:sz w:val="24"/>
          <w:szCs w:val="24"/>
          <w:shd w:val="clear" w:color="auto" w:fill="FFFFFF"/>
        </w:rPr>
        <w:t xml:space="preserve"> </w:t>
      </w:r>
      <w:proofErr w:type="spellStart"/>
      <w:r w:rsidRPr="00836AEF">
        <w:rPr>
          <w:rFonts w:ascii="Times New Roman" w:hAnsi="Times New Roman" w:cs="Times New Roman"/>
          <w:color w:val="202020"/>
          <w:sz w:val="24"/>
          <w:szCs w:val="24"/>
          <w:shd w:val="clear" w:color="auto" w:fill="FFFFFF"/>
        </w:rPr>
        <w:t>Biol</w:t>
      </w:r>
      <w:proofErr w:type="spellEnd"/>
      <w:r w:rsidRPr="00836AEF">
        <w:rPr>
          <w:rFonts w:ascii="Times New Roman" w:hAnsi="Times New Roman" w:cs="Times New Roman"/>
          <w:color w:val="202020"/>
          <w:sz w:val="24"/>
          <w:szCs w:val="24"/>
          <w:shd w:val="clear" w:color="auto" w:fill="FFFFFF"/>
        </w:rPr>
        <w:t xml:space="preserve"> 20(11): e1012536. </w:t>
      </w:r>
      <w:hyperlink r:id="rId34" w:history="1">
        <w:r w:rsidRPr="00836AEF">
          <w:rPr>
            <w:rStyle w:val="Hyperlink"/>
            <w:rFonts w:ascii="Times New Roman" w:hAnsi="Times New Roman" w:cs="Times New Roman"/>
            <w:sz w:val="24"/>
            <w:szCs w:val="24"/>
            <w:shd w:val="clear" w:color="auto" w:fill="FFFFFF"/>
          </w:rPr>
          <w:t>https://doi.org/10.1371/journal.pcbi.1012536</w:t>
        </w:r>
      </w:hyperlink>
    </w:p>
    <w:p w:rsidR="001C5706"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t>United Nations Scientific Committee on the Effects of Atomic Radiation. (2019). Sources and effects of ionizing radiation: UNSCEAR 2019 report to the General Assembly, with scientific annexes. United Nations.</w:t>
      </w:r>
    </w:p>
    <w:p w:rsidR="001C5706" w:rsidRPr="00E00D1A" w:rsidRDefault="001C5706" w:rsidP="001C5706">
      <w:pPr>
        <w:spacing w:after="120" w:line="240" w:lineRule="auto"/>
        <w:ind w:left="720" w:hanging="720"/>
        <w:jc w:val="both"/>
        <w:rPr>
          <w:rFonts w:ascii="Times New Roman" w:hAnsi="Times New Roman" w:cs="Times New Roman"/>
          <w:sz w:val="24"/>
          <w:szCs w:val="24"/>
        </w:rPr>
      </w:pPr>
      <w:r w:rsidRPr="00E00D1A">
        <w:rPr>
          <w:rFonts w:ascii="Times New Roman" w:hAnsi="Times New Roman" w:cs="Times New Roman"/>
          <w:sz w:val="24"/>
          <w:szCs w:val="24"/>
        </w:rPr>
        <w:t>Wang XB (2011). Study on the relationship between lung cancer risk and indoor radon. Asia-Pacific Tradition Med 2011; 7: 181.</w:t>
      </w:r>
    </w:p>
    <w:p w:rsidR="001C5706"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t xml:space="preserve">World Health Organization. (2009). WHO handbook on indoor radon: A public health perspective. WHO </w:t>
      </w:r>
      <w:proofErr w:type="gramStart"/>
      <w:r w:rsidRPr="00836AEF">
        <w:rPr>
          <w:rFonts w:ascii="Times New Roman" w:hAnsi="Times New Roman" w:cs="Times New Roman"/>
          <w:sz w:val="24"/>
          <w:szCs w:val="24"/>
        </w:rPr>
        <w:t>Press.</w:t>
      </w:r>
      <w:proofErr w:type="gramEnd"/>
    </w:p>
    <w:p w:rsidR="001C5706" w:rsidRDefault="001C5706" w:rsidP="001C5706">
      <w:pPr>
        <w:spacing w:after="120" w:line="240" w:lineRule="auto"/>
        <w:ind w:left="720" w:hanging="720"/>
        <w:jc w:val="both"/>
        <w:rPr>
          <w:rFonts w:ascii="Times New Roman" w:hAnsi="Times New Roman" w:cs="Times New Roman"/>
          <w:sz w:val="24"/>
          <w:szCs w:val="24"/>
        </w:rPr>
      </w:pPr>
      <w:r w:rsidRPr="005E77C0">
        <w:rPr>
          <w:rFonts w:ascii="Times New Roman" w:hAnsi="Times New Roman" w:cs="Times New Roman"/>
          <w:sz w:val="24"/>
          <w:szCs w:val="24"/>
        </w:rPr>
        <w:t xml:space="preserve">Yuan L, </w:t>
      </w:r>
      <w:proofErr w:type="spellStart"/>
      <w:r w:rsidRPr="005E77C0">
        <w:rPr>
          <w:rFonts w:ascii="Times New Roman" w:hAnsi="Times New Roman" w:cs="Times New Roman"/>
          <w:sz w:val="24"/>
          <w:szCs w:val="24"/>
        </w:rPr>
        <w:t>Geng</w:t>
      </w:r>
      <w:proofErr w:type="spellEnd"/>
      <w:r w:rsidRPr="005E77C0">
        <w:rPr>
          <w:rFonts w:ascii="Times New Roman" w:hAnsi="Times New Roman" w:cs="Times New Roman"/>
          <w:sz w:val="24"/>
          <w:szCs w:val="24"/>
        </w:rPr>
        <w:t xml:space="preserve"> S</w:t>
      </w:r>
      <w:r>
        <w:rPr>
          <w:rFonts w:ascii="Times New Roman" w:hAnsi="Times New Roman" w:cs="Times New Roman"/>
          <w:sz w:val="24"/>
          <w:szCs w:val="24"/>
        </w:rPr>
        <w:t>.</w:t>
      </w:r>
      <w:r w:rsidRPr="005E77C0">
        <w:rPr>
          <w:rFonts w:ascii="Times New Roman" w:hAnsi="Times New Roman" w:cs="Times New Roman"/>
          <w:sz w:val="24"/>
          <w:szCs w:val="24"/>
        </w:rPr>
        <w:t>B, Ma</w:t>
      </w:r>
      <w:r>
        <w:rPr>
          <w:rFonts w:ascii="Times New Roman" w:hAnsi="Times New Roman" w:cs="Times New Roman"/>
          <w:sz w:val="24"/>
          <w:szCs w:val="24"/>
        </w:rPr>
        <w:t xml:space="preserve">o J.F and Wang </w:t>
      </w:r>
      <w:proofErr w:type="gramStart"/>
      <w:r>
        <w:rPr>
          <w:rFonts w:ascii="Times New Roman" w:hAnsi="Times New Roman" w:cs="Times New Roman"/>
          <w:sz w:val="24"/>
          <w:szCs w:val="24"/>
        </w:rPr>
        <w:t>Q.W )2019</w:t>
      </w:r>
      <w:proofErr w:type="gramEnd"/>
      <w:r>
        <w:rPr>
          <w:rFonts w:ascii="Times New Roman" w:hAnsi="Times New Roman" w:cs="Times New Roman"/>
          <w:sz w:val="24"/>
          <w:szCs w:val="24"/>
        </w:rPr>
        <w:t xml:space="preserve">). Investigating </w:t>
      </w:r>
      <w:r w:rsidRPr="005E77C0">
        <w:rPr>
          <w:rFonts w:ascii="Times New Roman" w:hAnsi="Times New Roman" w:cs="Times New Roman"/>
          <w:sz w:val="24"/>
          <w:szCs w:val="24"/>
        </w:rPr>
        <w:t>the mitigation effect</w:t>
      </w:r>
      <w:r>
        <w:rPr>
          <w:rFonts w:ascii="Times New Roman" w:hAnsi="Times New Roman" w:cs="Times New Roman"/>
          <w:sz w:val="24"/>
          <w:szCs w:val="24"/>
        </w:rPr>
        <w:t xml:space="preserve">s of radon progeny by composite </w:t>
      </w:r>
      <w:r w:rsidRPr="005E77C0">
        <w:rPr>
          <w:rFonts w:ascii="Times New Roman" w:hAnsi="Times New Roman" w:cs="Times New Roman"/>
          <w:sz w:val="24"/>
          <w:szCs w:val="24"/>
        </w:rPr>
        <w:t xml:space="preserve">radon removal device. J </w:t>
      </w:r>
      <w:proofErr w:type="spellStart"/>
      <w:r w:rsidRPr="005E77C0">
        <w:rPr>
          <w:rFonts w:ascii="Times New Roman" w:hAnsi="Times New Roman" w:cs="Times New Roman"/>
          <w:sz w:val="24"/>
          <w:szCs w:val="24"/>
        </w:rPr>
        <w:t>Radioanal</w:t>
      </w:r>
      <w:proofErr w:type="spellEnd"/>
      <w:r w:rsidRPr="005E77C0">
        <w:rPr>
          <w:rFonts w:ascii="Times New Roman" w:hAnsi="Times New Roman" w:cs="Times New Roman"/>
          <w:sz w:val="24"/>
          <w:szCs w:val="24"/>
        </w:rPr>
        <w:t xml:space="preserve"> </w:t>
      </w:r>
      <w:proofErr w:type="spellStart"/>
      <w:r w:rsidRPr="005E77C0">
        <w:rPr>
          <w:rFonts w:ascii="Times New Roman" w:hAnsi="Times New Roman" w:cs="Times New Roman"/>
          <w:sz w:val="24"/>
          <w:szCs w:val="24"/>
        </w:rPr>
        <w:t>Nucl</w:t>
      </w:r>
      <w:proofErr w:type="spellEnd"/>
      <w:r w:rsidRPr="005E77C0">
        <w:rPr>
          <w:rFonts w:ascii="Times New Roman" w:hAnsi="Times New Roman" w:cs="Times New Roman"/>
          <w:sz w:val="24"/>
          <w:szCs w:val="24"/>
        </w:rPr>
        <w:t xml:space="preserve"> </w:t>
      </w:r>
      <w:proofErr w:type="spellStart"/>
      <w:r w:rsidRPr="005E77C0">
        <w:rPr>
          <w:rFonts w:ascii="Times New Roman" w:hAnsi="Times New Roman" w:cs="Times New Roman"/>
          <w:sz w:val="24"/>
          <w:szCs w:val="24"/>
        </w:rPr>
        <w:t>Chem</w:t>
      </w:r>
      <w:proofErr w:type="spellEnd"/>
      <w:r w:rsidRPr="005E77C0">
        <w:rPr>
          <w:rFonts w:ascii="Times New Roman" w:hAnsi="Times New Roman" w:cs="Times New Roman"/>
          <w:sz w:val="24"/>
          <w:szCs w:val="24"/>
        </w:rPr>
        <w:t xml:space="preserve"> </w:t>
      </w:r>
      <w:r>
        <w:rPr>
          <w:rFonts w:ascii="Times New Roman" w:hAnsi="Times New Roman" w:cs="Times New Roman"/>
          <w:sz w:val="24"/>
          <w:szCs w:val="24"/>
        </w:rPr>
        <w:t xml:space="preserve">2019; </w:t>
      </w:r>
      <w:r w:rsidRPr="005E77C0">
        <w:rPr>
          <w:rFonts w:ascii="Times New Roman" w:hAnsi="Times New Roman" w:cs="Times New Roman"/>
          <w:sz w:val="24"/>
          <w:szCs w:val="24"/>
        </w:rPr>
        <w:t>319: 205–211.</w:t>
      </w:r>
    </w:p>
    <w:p w:rsidR="001C5706" w:rsidRPr="001C5706" w:rsidRDefault="001C5706" w:rsidP="001C5706">
      <w:pPr>
        <w:spacing w:after="120" w:line="240" w:lineRule="auto"/>
        <w:ind w:left="720" w:hanging="720"/>
        <w:jc w:val="both"/>
        <w:rPr>
          <w:rFonts w:ascii="Times New Roman" w:hAnsi="Times New Roman" w:cs="Times New Roman"/>
          <w:sz w:val="24"/>
          <w:szCs w:val="24"/>
        </w:rPr>
      </w:pPr>
      <w:r w:rsidRPr="00836AEF">
        <w:rPr>
          <w:rFonts w:ascii="Times New Roman" w:hAnsi="Times New Roman" w:cs="Times New Roman"/>
          <w:sz w:val="24"/>
          <w:szCs w:val="24"/>
        </w:rPr>
        <w:t xml:space="preserve">Zhu, H., Wang, X., Chen, Y., Chen, D., &amp; Xu, G. (2018). Establishment of detailed respiratory tract model and Monte Carlo simulation of radon progeny caused dose. Journal of Radiological Protection, 38(4), 990–1012. </w:t>
      </w:r>
      <w:hyperlink r:id="rId35" w:history="1">
        <w:r w:rsidRPr="00836AEF">
          <w:rPr>
            <w:rStyle w:val="Hyperlink"/>
            <w:rFonts w:ascii="Times New Roman" w:hAnsi="Times New Roman" w:cs="Times New Roman"/>
            <w:sz w:val="24"/>
            <w:szCs w:val="24"/>
          </w:rPr>
          <w:t>https://doi.org/10.1088/1361-6498/aac987</w:t>
        </w:r>
      </w:hyperlink>
    </w:p>
    <w:p w:rsidR="00240931" w:rsidRPr="00240931" w:rsidRDefault="00240931" w:rsidP="00240931">
      <w:pPr>
        <w:pStyle w:val="Default"/>
      </w:pPr>
    </w:p>
    <w:sectPr w:rsidR="00240931" w:rsidRPr="00240931">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6D" w:rsidRDefault="0012216D" w:rsidP="00D95664">
      <w:pPr>
        <w:spacing w:after="0" w:line="240" w:lineRule="auto"/>
      </w:pPr>
      <w:r>
        <w:separator/>
      </w:r>
    </w:p>
  </w:endnote>
  <w:endnote w:type="continuationSeparator" w:id="0">
    <w:p w:rsidR="0012216D" w:rsidRDefault="0012216D" w:rsidP="00D9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umanst521 BT">
    <w:altName w:val="Humanist"/>
    <w:panose1 w:val="020B0602020204020204"/>
    <w:charset w:val="00"/>
    <w:family w:val="swiss"/>
    <w:pitch w:val="variable"/>
    <w:sig w:usb0="800000AF" w:usb1="1000204A"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CharisSIL">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108665"/>
      <w:docPartObj>
        <w:docPartGallery w:val="Page Numbers (Bottom of Page)"/>
        <w:docPartUnique/>
      </w:docPartObj>
    </w:sdtPr>
    <w:sdtEndPr>
      <w:rPr>
        <w:noProof/>
      </w:rPr>
    </w:sdtEndPr>
    <w:sdtContent>
      <w:p w:rsidR="00F31532" w:rsidRDefault="00F31532">
        <w:pPr>
          <w:pStyle w:val="Footer"/>
          <w:jc w:val="center"/>
        </w:pPr>
        <w:r>
          <w:fldChar w:fldCharType="begin"/>
        </w:r>
        <w:r>
          <w:instrText xml:space="preserve"> PAGE   \* MERGEFORMAT </w:instrText>
        </w:r>
        <w:r>
          <w:fldChar w:fldCharType="separate"/>
        </w:r>
        <w:r w:rsidR="00366DDF">
          <w:rPr>
            <w:noProof/>
          </w:rPr>
          <w:t>19</w:t>
        </w:r>
        <w:r>
          <w:rPr>
            <w:noProof/>
          </w:rPr>
          <w:fldChar w:fldCharType="end"/>
        </w:r>
      </w:p>
    </w:sdtContent>
  </w:sdt>
  <w:p w:rsidR="00F31532" w:rsidRDefault="00F3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6D" w:rsidRDefault="0012216D" w:rsidP="00D95664">
      <w:pPr>
        <w:spacing w:after="0" w:line="240" w:lineRule="auto"/>
      </w:pPr>
      <w:r>
        <w:separator/>
      </w:r>
    </w:p>
  </w:footnote>
  <w:footnote w:type="continuationSeparator" w:id="0">
    <w:p w:rsidR="0012216D" w:rsidRDefault="0012216D" w:rsidP="00D95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D02"/>
    <w:multiLevelType w:val="multilevel"/>
    <w:tmpl w:val="11789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914EC"/>
    <w:multiLevelType w:val="multilevel"/>
    <w:tmpl w:val="95D2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167CA"/>
    <w:multiLevelType w:val="multilevel"/>
    <w:tmpl w:val="D818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4106B"/>
    <w:multiLevelType w:val="multilevel"/>
    <w:tmpl w:val="09D8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66478"/>
    <w:multiLevelType w:val="multilevel"/>
    <w:tmpl w:val="2E20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6105D6"/>
    <w:multiLevelType w:val="multilevel"/>
    <w:tmpl w:val="2898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E2E6A"/>
    <w:multiLevelType w:val="multilevel"/>
    <w:tmpl w:val="B39AA0F8"/>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60014"/>
    <w:multiLevelType w:val="multilevel"/>
    <w:tmpl w:val="45FA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64A33"/>
    <w:multiLevelType w:val="multilevel"/>
    <w:tmpl w:val="E01AF9BC"/>
    <w:lvl w:ilvl="0">
      <w:start w:val="1"/>
      <w:numFmt w:val="decimal"/>
      <w:lvlText w:val="%1."/>
      <w:lvlJc w:val="left"/>
      <w:pPr>
        <w:ind w:left="267" w:hanging="267"/>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367" w:hanging="367"/>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312" w:hanging="367"/>
      </w:pPr>
      <w:rPr>
        <w:rFonts w:hint="default"/>
        <w:lang w:val="en-US" w:eastAsia="en-US" w:bidi="ar-SA"/>
      </w:rPr>
    </w:lvl>
    <w:lvl w:ilvl="3">
      <w:numFmt w:val="bullet"/>
      <w:lvlText w:val="•"/>
      <w:lvlJc w:val="left"/>
      <w:pPr>
        <w:ind w:left="2264" w:hanging="367"/>
      </w:pPr>
      <w:rPr>
        <w:rFonts w:hint="default"/>
        <w:lang w:val="en-US" w:eastAsia="en-US" w:bidi="ar-SA"/>
      </w:rPr>
    </w:lvl>
    <w:lvl w:ilvl="4">
      <w:numFmt w:val="bullet"/>
      <w:lvlText w:val="•"/>
      <w:lvlJc w:val="left"/>
      <w:pPr>
        <w:ind w:left="3216" w:hanging="367"/>
      </w:pPr>
      <w:rPr>
        <w:rFonts w:hint="default"/>
        <w:lang w:val="en-US" w:eastAsia="en-US" w:bidi="ar-SA"/>
      </w:rPr>
    </w:lvl>
    <w:lvl w:ilvl="5">
      <w:numFmt w:val="bullet"/>
      <w:lvlText w:val="•"/>
      <w:lvlJc w:val="left"/>
      <w:pPr>
        <w:ind w:left="4168" w:hanging="367"/>
      </w:pPr>
      <w:rPr>
        <w:rFonts w:hint="default"/>
        <w:lang w:val="en-US" w:eastAsia="en-US" w:bidi="ar-SA"/>
      </w:rPr>
    </w:lvl>
    <w:lvl w:ilvl="6">
      <w:numFmt w:val="bullet"/>
      <w:lvlText w:val="•"/>
      <w:lvlJc w:val="left"/>
      <w:pPr>
        <w:ind w:left="5120" w:hanging="367"/>
      </w:pPr>
      <w:rPr>
        <w:rFonts w:hint="default"/>
        <w:lang w:val="en-US" w:eastAsia="en-US" w:bidi="ar-SA"/>
      </w:rPr>
    </w:lvl>
    <w:lvl w:ilvl="7">
      <w:numFmt w:val="bullet"/>
      <w:lvlText w:val="•"/>
      <w:lvlJc w:val="left"/>
      <w:pPr>
        <w:ind w:left="6073" w:hanging="367"/>
      </w:pPr>
      <w:rPr>
        <w:rFonts w:hint="default"/>
        <w:lang w:val="en-US" w:eastAsia="en-US" w:bidi="ar-SA"/>
      </w:rPr>
    </w:lvl>
    <w:lvl w:ilvl="8">
      <w:numFmt w:val="bullet"/>
      <w:lvlText w:val="•"/>
      <w:lvlJc w:val="left"/>
      <w:pPr>
        <w:ind w:left="7025" w:hanging="367"/>
      </w:pPr>
      <w:rPr>
        <w:rFonts w:hint="default"/>
        <w:lang w:val="en-US" w:eastAsia="en-US" w:bidi="ar-SA"/>
      </w:rPr>
    </w:lvl>
  </w:abstractNum>
  <w:num w:numId="1">
    <w:abstractNumId w:val="7"/>
  </w:num>
  <w:num w:numId="2">
    <w:abstractNumId w:val="0"/>
  </w:num>
  <w:num w:numId="3">
    <w:abstractNumId w:val="5"/>
  </w:num>
  <w:num w:numId="4">
    <w:abstractNumId w:val="1"/>
  </w:num>
  <w:num w:numId="5">
    <w:abstractNumId w:val="8"/>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29"/>
    <w:rsid w:val="00001274"/>
    <w:rsid w:val="000A1639"/>
    <w:rsid w:val="000B0C06"/>
    <w:rsid w:val="000B5298"/>
    <w:rsid w:val="000C4729"/>
    <w:rsid w:val="000C5E9B"/>
    <w:rsid w:val="000D135D"/>
    <w:rsid w:val="001106CA"/>
    <w:rsid w:val="0012216D"/>
    <w:rsid w:val="001C5706"/>
    <w:rsid w:val="001F6442"/>
    <w:rsid w:val="00240931"/>
    <w:rsid w:val="00272143"/>
    <w:rsid w:val="00281633"/>
    <w:rsid w:val="00320BEA"/>
    <w:rsid w:val="00337B9E"/>
    <w:rsid w:val="00366DDF"/>
    <w:rsid w:val="00390619"/>
    <w:rsid w:val="003A227E"/>
    <w:rsid w:val="004216A0"/>
    <w:rsid w:val="0052647D"/>
    <w:rsid w:val="00551E37"/>
    <w:rsid w:val="005A386D"/>
    <w:rsid w:val="005B47B0"/>
    <w:rsid w:val="005B527C"/>
    <w:rsid w:val="005C3FFE"/>
    <w:rsid w:val="006347AF"/>
    <w:rsid w:val="00652793"/>
    <w:rsid w:val="00653F46"/>
    <w:rsid w:val="006F40D3"/>
    <w:rsid w:val="0077559F"/>
    <w:rsid w:val="007A293B"/>
    <w:rsid w:val="007C6D9B"/>
    <w:rsid w:val="007D5BED"/>
    <w:rsid w:val="0083683D"/>
    <w:rsid w:val="00861783"/>
    <w:rsid w:val="00875C2C"/>
    <w:rsid w:val="0093122B"/>
    <w:rsid w:val="00933315"/>
    <w:rsid w:val="00940004"/>
    <w:rsid w:val="0094385C"/>
    <w:rsid w:val="009E311E"/>
    <w:rsid w:val="00B06F3D"/>
    <w:rsid w:val="00B36B02"/>
    <w:rsid w:val="00B957B2"/>
    <w:rsid w:val="00BB0652"/>
    <w:rsid w:val="00BF29DB"/>
    <w:rsid w:val="00BF49C8"/>
    <w:rsid w:val="00C026C2"/>
    <w:rsid w:val="00C37DEA"/>
    <w:rsid w:val="00C42A9A"/>
    <w:rsid w:val="00C85A09"/>
    <w:rsid w:val="00CC06D0"/>
    <w:rsid w:val="00CC11AC"/>
    <w:rsid w:val="00D5253E"/>
    <w:rsid w:val="00D6709C"/>
    <w:rsid w:val="00D95664"/>
    <w:rsid w:val="00DA7455"/>
    <w:rsid w:val="00DE376F"/>
    <w:rsid w:val="00EA2DAD"/>
    <w:rsid w:val="00EF6F47"/>
    <w:rsid w:val="00F31532"/>
    <w:rsid w:val="00F417F2"/>
    <w:rsid w:val="00F5332F"/>
    <w:rsid w:val="00FB2B6A"/>
    <w:rsid w:val="00FC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27EA"/>
  <w15:chartTrackingRefBased/>
  <w15:docId w15:val="{FE30BE30-EFF3-4BBB-AE69-B127A1E9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2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368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C4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C4E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4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4729"/>
    <w:rPr>
      <w:b/>
      <w:bCs/>
    </w:rPr>
  </w:style>
  <w:style w:type="character" w:customStyle="1" w:styleId="Heading3Char">
    <w:name w:val="Heading 3 Char"/>
    <w:basedOn w:val="DefaultParagraphFont"/>
    <w:link w:val="Heading3"/>
    <w:uiPriority w:val="9"/>
    <w:rsid w:val="000C4729"/>
    <w:rPr>
      <w:rFonts w:ascii="Times New Roman" w:eastAsia="Times New Roman" w:hAnsi="Times New Roman" w:cs="Times New Roman"/>
      <w:b/>
      <w:bCs/>
      <w:sz w:val="27"/>
      <w:szCs w:val="27"/>
    </w:rPr>
  </w:style>
  <w:style w:type="paragraph" w:styleId="ListParagraph">
    <w:name w:val="List Paragraph"/>
    <w:basedOn w:val="Normal"/>
    <w:uiPriority w:val="34"/>
    <w:qFormat/>
    <w:rsid w:val="000C4729"/>
    <w:pPr>
      <w:ind w:left="720"/>
      <w:contextualSpacing/>
    </w:pPr>
  </w:style>
  <w:style w:type="character" w:customStyle="1" w:styleId="Heading2Char">
    <w:name w:val="Heading 2 Char"/>
    <w:basedOn w:val="DefaultParagraphFont"/>
    <w:link w:val="Heading2"/>
    <w:uiPriority w:val="9"/>
    <w:semiHidden/>
    <w:rsid w:val="008368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A293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7A293B"/>
    <w:pPr>
      <w:widowControl w:val="0"/>
      <w:autoSpaceDE w:val="0"/>
      <w:autoSpaceDN w:val="0"/>
      <w:spacing w:after="0" w:line="240" w:lineRule="auto"/>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7A293B"/>
    <w:rPr>
      <w:rFonts w:ascii="Arial MT" w:eastAsia="Arial MT" w:hAnsi="Arial MT" w:cs="Arial MT"/>
      <w:sz w:val="20"/>
      <w:szCs w:val="20"/>
    </w:rPr>
  </w:style>
  <w:style w:type="paragraph" w:styleId="Title">
    <w:name w:val="Title"/>
    <w:basedOn w:val="Normal"/>
    <w:link w:val="TitleChar"/>
    <w:uiPriority w:val="1"/>
    <w:qFormat/>
    <w:rsid w:val="007A293B"/>
    <w:pPr>
      <w:widowControl w:val="0"/>
      <w:autoSpaceDE w:val="0"/>
      <w:autoSpaceDN w:val="0"/>
      <w:spacing w:before="79" w:after="0" w:line="240" w:lineRule="auto"/>
      <w:ind w:right="138"/>
      <w:jc w:val="center"/>
    </w:pPr>
    <w:rPr>
      <w:rFonts w:ascii="Arial MT" w:eastAsia="Arial MT" w:hAnsi="Arial MT" w:cs="Arial MT"/>
      <w:sz w:val="28"/>
      <w:szCs w:val="28"/>
    </w:rPr>
  </w:style>
  <w:style w:type="character" w:customStyle="1" w:styleId="TitleChar">
    <w:name w:val="Title Char"/>
    <w:basedOn w:val="DefaultParagraphFont"/>
    <w:link w:val="Title"/>
    <w:uiPriority w:val="1"/>
    <w:rsid w:val="007A293B"/>
    <w:rPr>
      <w:rFonts w:ascii="Arial MT" w:eastAsia="Arial MT" w:hAnsi="Arial MT" w:cs="Arial MT"/>
      <w:sz w:val="28"/>
      <w:szCs w:val="28"/>
    </w:rPr>
  </w:style>
  <w:style w:type="character" w:styleId="HTMLCode">
    <w:name w:val="HTML Code"/>
    <w:basedOn w:val="DefaultParagraphFont"/>
    <w:uiPriority w:val="99"/>
    <w:semiHidden/>
    <w:unhideWhenUsed/>
    <w:rsid w:val="00F5332F"/>
    <w:rPr>
      <w:rFonts w:ascii="Courier New" w:eastAsia="Times New Roman" w:hAnsi="Courier New" w:cs="Courier New"/>
      <w:sz w:val="20"/>
      <w:szCs w:val="20"/>
    </w:rPr>
  </w:style>
  <w:style w:type="character" w:customStyle="1" w:styleId="katex-mathml">
    <w:name w:val="katex-mathml"/>
    <w:basedOn w:val="DefaultParagraphFont"/>
    <w:rsid w:val="00940004"/>
  </w:style>
  <w:style w:type="character" w:customStyle="1" w:styleId="mord">
    <w:name w:val="mord"/>
    <w:basedOn w:val="DefaultParagraphFont"/>
    <w:rsid w:val="00940004"/>
  </w:style>
  <w:style w:type="character" w:customStyle="1" w:styleId="vlist-s">
    <w:name w:val="vlist-s"/>
    <w:basedOn w:val="DefaultParagraphFont"/>
    <w:rsid w:val="00940004"/>
  </w:style>
  <w:style w:type="character" w:customStyle="1" w:styleId="mrel">
    <w:name w:val="mrel"/>
    <w:basedOn w:val="DefaultParagraphFont"/>
    <w:rsid w:val="00940004"/>
  </w:style>
  <w:style w:type="character" w:customStyle="1" w:styleId="mbin">
    <w:name w:val="mbin"/>
    <w:basedOn w:val="DefaultParagraphFont"/>
    <w:rsid w:val="00940004"/>
  </w:style>
  <w:style w:type="character" w:customStyle="1" w:styleId="mopen">
    <w:name w:val="mopen"/>
    <w:basedOn w:val="DefaultParagraphFont"/>
    <w:rsid w:val="0093122B"/>
  </w:style>
  <w:style w:type="character" w:customStyle="1" w:styleId="mclose">
    <w:name w:val="mclose"/>
    <w:basedOn w:val="DefaultParagraphFont"/>
    <w:rsid w:val="0093122B"/>
  </w:style>
  <w:style w:type="character" w:customStyle="1" w:styleId="mpunct">
    <w:name w:val="mpunct"/>
    <w:basedOn w:val="DefaultParagraphFont"/>
    <w:rsid w:val="0093122B"/>
  </w:style>
  <w:style w:type="character" w:customStyle="1" w:styleId="mop">
    <w:name w:val="mop"/>
    <w:basedOn w:val="DefaultParagraphFont"/>
    <w:rsid w:val="0093122B"/>
  </w:style>
  <w:style w:type="character" w:styleId="Emphasis">
    <w:name w:val="Emphasis"/>
    <w:basedOn w:val="DefaultParagraphFont"/>
    <w:uiPriority w:val="20"/>
    <w:qFormat/>
    <w:rsid w:val="0093122B"/>
    <w:rPr>
      <w:i/>
      <w:iCs/>
    </w:rPr>
  </w:style>
  <w:style w:type="character" w:styleId="PlaceholderText">
    <w:name w:val="Placeholder Text"/>
    <w:basedOn w:val="DefaultParagraphFont"/>
    <w:uiPriority w:val="99"/>
    <w:semiHidden/>
    <w:rsid w:val="00281633"/>
    <w:rPr>
      <w:color w:val="808080"/>
    </w:rPr>
  </w:style>
  <w:style w:type="paragraph" w:styleId="Header">
    <w:name w:val="header"/>
    <w:basedOn w:val="Normal"/>
    <w:link w:val="HeaderChar"/>
    <w:uiPriority w:val="99"/>
    <w:unhideWhenUsed/>
    <w:rsid w:val="00D95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664"/>
  </w:style>
  <w:style w:type="paragraph" w:styleId="Footer">
    <w:name w:val="footer"/>
    <w:basedOn w:val="Normal"/>
    <w:link w:val="FooterChar"/>
    <w:uiPriority w:val="99"/>
    <w:unhideWhenUsed/>
    <w:rsid w:val="00D95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664"/>
  </w:style>
  <w:style w:type="character" w:customStyle="1" w:styleId="citationsource-journal">
    <w:name w:val="citation_source-journal"/>
    <w:basedOn w:val="DefaultParagraphFont"/>
    <w:rsid w:val="00D6709C"/>
  </w:style>
  <w:style w:type="character" w:styleId="Hyperlink">
    <w:name w:val="Hyperlink"/>
    <w:basedOn w:val="DefaultParagraphFont"/>
    <w:uiPriority w:val="99"/>
    <w:unhideWhenUsed/>
    <w:rsid w:val="00D6709C"/>
    <w:rPr>
      <w:color w:val="0563C1" w:themeColor="hyperlink"/>
      <w:u w:val="single"/>
    </w:rPr>
  </w:style>
  <w:style w:type="character" w:customStyle="1" w:styleId="Heading4Char">
    <w:name w:val="Heading 4 Char"/>
    <w:basedOn w:val="DefaultParagraphFont"/>
    <w:link w:val="Heading4"/>
    <w:uiPriority w:val="9"/>
    <w:semiHidden/>
    <w:rsid w:val="00FC4E7D"/>
    <w:rPr>
      <w:rFonts w:asciiTheme="majorHAnsi" w:eastAsiaTheme="majorEastAsia" w:hAnsiTheme="majorHAnsi" w:cstheme="majorBidi"/>
      <w:i/>
      <w:iCs/>
      <w:color w:val="2E74B5" w:themeColor="accent1" w:themeShade="BF"/>
    </w:rPr>
  </w:style>
  <w:style w:type="paragraph" w:customStyle="1" w:styleId="Default">
    <w:name w:val="Default"/>
    <w:rsid w:val="00240931"/>
    <w:pPr>
      <w:autoSpaceDE w:val="0"/>
      <w:autoSpaceDN w:val="0"/>
      <w:adjustRightInd w:val="0"/>
      <w:spacing w:after="0" w:line="240" w:lineRule="auto"/>
    </w:pPr>
    <w:rPr>
      <w:rFonts w:ascii="Humanst521 BT" w:hAnsi="Humanst521 BT" w:cs="Humanst521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750">
      <w:bodyDiv w:val="1"/>
      <w:marLeft w:val="0"/>
      <w:marRight w:val="0"/>
      <w:marTop w:val="0"/>
      <w:marBottom w:val="0"/>
      <w:divBdr>
        <w:top w:val="none" w:sz="0" w:space="0" w:color="auto"/>
        <w:left w:val="none" w:sz="0" w:space="0" w:color="auto"/>
        <w:bottom w:val="none" w:sz="0" w:space="0" w:color="auto"/>
        <w:right w:val="none" w:sz="0" w:space="0" w:color="auto"/>
      </w:divBdr>
    </w:div>
    <w:div w:id="121657124">
      <w:bodyDiv w:val="1"/>
      <w:marLeft w:val="0"/>
      <w:marRight w:val="0"/>
      <w:marTop w:val="0"/>
      <w:marBottom w:val="0"/>
      <w:divBdr>
        <w:top w:val="none" w:sz="0" w:space="0" w:color="auto"/>
        <w:left w:val="none" w:sz="0" w:space="0" w:color="auto"/>
        <w:bottom w:val="none" w:sz="0" w:space="0" w:color="auto"/>
        <w:right w:val="none" w:sz="0" w:space="0" w:color="auto"/>
      </w:divBdr>
    </w:div>
    <w:div w:id="133984811">
      <w:bodyDiv w:val="1"/>
      <w:marLeft w:val="0"/>
      <w:marRight w:val="0"/>
      <w:marTop w:val="0"/>
      <w:marBottom w:val="0"/>
      <w:divBdr>
        <w:top w:val="none" w:sz="0" w:space="0" w:color="auto"/>
        <w:left w:val="none" w:sz="0" w:space="0" w:color="auto"/>
        <w:bottom w:val="none" w:sz="0" w:space="0" w:color="auto"/>
        <w:right w:val="none" w:sz="0" w:space="0" w:color="auto"/>
      </w:divBdr>
    </w:div>
    <w:div w:id="223637729">
      <w:bodyDiv w:val="1"/>
      <w:marLeft w:val="0"/>
      <w:marRight w:val="0"/>
      <w:marTop w:val="0"/>
      <w:marBottom w:val="0"/>
      <w:divBdr>
        <w:top w:val="none" w:sz="0" w:space="0" w:color="auto"/>
        <w:left w:val="none" w:sz="0" w:space="0" w:color="auto"/>
        <w:bottom w:val="none" w:sz="0" w:space="0" w:color="auto"/>
        <w:right w:val="none" w:sz="0" w:space="0" w:color="auto"/>
      </w:divBdr>
    </w:div>
    <w:div w:id="318118526">
      <w:bodyDiv w:val="1"/>
      <w:marLeft w:val="0"/>
      <w:marRight w:val="0"/>
      <w:marTop w:val="0"/>
      <w:marBottom w:val="0"/>
      <w:divBdr>
        <w:top w:val="none" w:sz="0" w:space="0" w:color="auto"/>
        <w:left w:val="none" w:sz="0" w:space="0" w:color="auto"/>
        <w:bottom w:val="none" w:sz="0" w:space="0" w:color="auto"/>
        <w:right w:val="none" w:sz="0" w:space="0" w:color="auto"/>
      </w:divBdr>
    </w:div>
    <w:div w:id="964196177">
      <w:bodyDiv w:val="1"/>
      <w:marLeft w:val="0"/>
      <w:marRight w:val="0"/>
      <w:marTop w:val="0"/>
      <w:marBottom w:val="0"/>
      <w:divBdr>
        <w:top w:val="none" w:sz="0" w:space="0" w:color="auto"/>
        <w:left w:val="none" w:sz="0" w:space="0" w:color="auto"/>
        <w:bottom w:val="none" w:sz="0" w:space="0" w:color="auto"/>
        <w:right w:val="none" w:sz="0" w:space="0" w:color="auto"/>
      </w:divBdr>
    </w:div>
    <w:div w:id="991324235">
      <w:bodyDiv w:val="1"/>
      <w:marLeft w:val="0"/>
      <w:marRight w:val="0"/>
      <w:marTop w:val="0"/>
      <w:marBottom w:val="0"/>
      <w:divBdr>
        <w:top w:val="none" w:sz="0" w:space="0" w:color="auto"/>
        <w:left w:val="none" w:sz="0" w:space="0" w:color="auto"/>
        <w:bottom w:val="none" w:sz="0" w:space="0" w:color="auto"/>
        <w:right w:val="none" w:sz="0" w:space="0" w:color="auto"/>
      </w:divBdr>
    </w:div>
    <w:div w:id="1047754363">
      <w:bodyDiv w:val="1"/>
      <w:marLeft w:val="0"/>
      <w:marRight w:val="0"/>
      <w:marTop w:val="0"/>
      <w:marBottom w:val="0"/>
      <w:divBdr>
        <w:top w:val="none" w:sz="0" w:space="0" w:color="auto"/>
        <w:left w:val="none" w:sz="0" w:space="0" w:color="auto"/>
        <w:bottom w:val="none" w:sz="0" w:space="0" w:color="auto"/>
        <w:right w:val="none" w:sz="0" w:space="0" w:color="auto"/>
      </w:divBdr>
    </w:div>
    <w:div w:id="1090539959">
      <w:bodyDiv w:val="1"/>
      <w:marLeft w:val="0"/>
      <w:marRight w:val="0"/>
      <w:marTop w:val="0"/>
      <w:marBottom w:val="0"/>
      <w:divBdr>
        <w:top w:val="none" w:sz="0" w:space="0" w:color="auto"/>
        <w:left w:val="none" w:sz="0" w:space="0" w:color="auto"/>
        <w:bottom w:val="none" w:sz="0" w:space="0" w:color="auto"/>
        <w:right w:val="none" w:sz="0" w:space="0" w:color="auto"/>
      </w:divBdr>
    </w:div>
    <w:div w:id="1132213208">
      <w:bodyDiv w:val="1"/>
      <w:marLeft w:val="0"/>
      <w:marRight w:val="0"/>
      <w:marTop w:val="0"/>
      <w:marBottom w:val="0"/>
      <w:divBdr>
        <w:top w:val="none" w:sz="0" w:space="0" w:color="auto"/>
        <w:left w:val="none" w:sz="0" w:space="0" w:color="auto"/>
        <w:bottom w:val="none" w:sz="0" w:space="0" w:color="auto"/>
        <w:right w:val="none" w:sz="0" w:space="0" w:color="auto"/>
      </w:divBdr>
    </w:div>
    <w:div w:id="1149202115">
      <w:bodyDiv w:val="1"/>
      <w:marLeft w:val="0"/>
      <w:marRight w:val="0"/>
      <w:marTop w:val="0"/>
      <w:marBottom w:val="0"/>
      <w:divBdr>
        <w:top w:val="none" w:sz="0" w:space="0" w:color="auto"/>
        <w:left w:val="none" w:sz="0" w:space="0" w:color="auto"/>
        <w:bottom w:val="none" w:sz="0" w:space="0" w:color="auto"/>
        <w:right w:val="none" w:sz="0" w:space="0" w:color="auto"/>
      </w:divBdr>
    </w:div>
    <w:div w:id="1204052675">
      <w:bodyDiv w:val="1"/>
      <w:marLeft w:val="0"/>
      <w:marRight w:val="0"/>
      <w:marTop w:val="0"/>
      <w:marBottom w:val="0"/>
      <w:divBdr>
        <w:top w:val="none" w:sz="0" w:space="0" w:color="auto"/>
        <w:left w:val="none" w:sz="0" w:space="0" w:color="auto"/>
        <w:bottom w:val="none" w:sz="0" w:space="0" w:color="auto"/>
        <w:right w:val="none" w:sz="0" w:space="0" w:color="auto"/>
      </w:divBdr>
    </w:div>
    <w:div w:id="1379747764">
      <w:bodyDiv w:val="1"/>
      <w:marLeft w:val="0"/>
      <w:marRight w:val="0"/>
      <w:marTop w:val="0"/>
      <w:marBottom w:val="0"/>
      <w:divBdr>
        <w:top w:val="none" w:sz="0" w:space="0" w:color="auto"/>
        <w:left w:val="none" w:sz="0" w:space="0" w:color="auto"/>
        <w:bottom w:val="none" w:sz="0" w:space="0" w:color="auto"/>
        <w:right w:val="none" w:sz="0" w:space="0" w:color="auto"/>
      </w:divBdr>
    </w:div>
    <w:div w:id="1555920418">
      <w:bodyDiv w:val="1"/>
      <w:marLeft w:val="0"/>
      <w:marRight w:val="0"/>
      <w:marTop w:val="0"/>
      <w:marBottom w:val="0"/>
      <w:divBdr>
        <w:top w:val="none" w:sz="0" w:space="0" w:color="auto"/>
        <w:left w:val="none" w:sz="0" w:space="0" w:color="auto"/>
        <w:bottom w:val="none" w:sz="0" w:space="0" w:color="auto"/>
        <w:right w:val="none" w:sz="0" w:space="0" w:color="auto"/>
      </w:divBdr>
      <w:divsChild>
        <w:div w:id="65225499">
          <w:marLeft w:val="0"/>
          <w:marRight w:val="0"/>
          <w:marTop w:val="0"/>
          <w:marBottom w:val="0"/>
          <w:divBdr>
            <w:top w:val="none" w:sz="0" w:space="0" w:color="auto"/>
            <w:left w:val="none" w:sz="0" w:space="0" w:color="auto"/>
            <w:bottom w:val="none" w:sz="0" w:space="0" w:color="auto"/>
            <w:right w:val="none" w:sz="0" w:space="0" w:color="auto"/>
          </w:divBdr>
          <w:divsChild>
            <w:div w:id="1221551058">
              <w:marLeft w:val="0"/>
              <w:marRight w:val="0"/>
              <w:marTop w:val="0"/>
              <w:marBottom w:val="0"/>
              <w:divBdr>
                <w:top w:val="none" w:sz="0" w:space="0" w:color="auto"/>
                <w:left w:val="none" w:sz="0" w:space="0" w:color="auto"/>
                <w:bottom w:val="none" w:sz="0" w:space="0" w:color="auto"/>
                <w:right w:val="none" w:sz="0" w:space="0" w:color="auto"/>
              </w:divBdr>
              <w:divsChild>
                <w:div w:id="16825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92651">
          <w:marLeft w:val="0"/>
          <w:marRight w:val="0"/>
          <w:marTop w:val="0"/>
          <w:marBottom w:val="0"/>
          <w:divBdr>
            <w:top w:val="none" w:sz="0" w:space="0" w:color="auto"/>
            <w:left w:val="none" w:sz="0" w:space="0" w:color="auto"/>
            <w:bottom w:val="none" w:sz="0" w:space="0" w:color="auto"/>
            <w:right w:val="none" w:sz="0" w:space="0" w:color="auto"/>
          </w:divBdr>
          <w:divsChild>
            <w:div w:id="1066105251">
              <w:marLeft w:val="0"/>
              <w:marRight w:val="0"/>
              <w:marTop w:val="0"/>
              <w:marBottom w:val="0"/>
              <w:divBdr>
                <w:top w:val="none" w:sz="0" w:space="0" w:color="auto"/>
                <w:left w:val="none" w:sz="0" w:space="0" w:color="auto"/>
                <w:bottom w:val="none" w:sz="0" w:space="0" w:color="auto"/>
                <w:right w:val="none" w:sz="0" w:space="0" w:color="auto"/>
              </w:divBdr>
              <w:divsChild>
                <w:div w:id="295919381">
                  <w:marLeft w:val="0"/>
                  <w:marRight w:val="0"/>
                  <w:marTop w:val="0"/>
                  <w:marBottom w:val="0"/>
                  <w:divBdr>
                    <w:top w:val="none" w:sz="0" w:space="0" w:color="auto"/>
                    <w:left w:val="none" w:sz="0" w:space="0" w:color="auto"/>
                    <w:bottom w:val="none" w:sz="0" w:space="0" w:color="auto"/>
                    <w:right w:val="none" w:sz="0" w:space="0" w:color="auto"/>
                  </w:divBdr>
                </w:div>
              </w:divsChild>
            </w:div>
            <w:div w:id="265621739">
              <w:marLeft w:val="0"/>
              <w:marRight w:val="0"/>
              <w:marTop w:val="0"/>
              <w:marBottom w:val="0"/>
              <w:divBdr>
                <w:top w:val="none" w:sz="0" w:space="0" w:color="auto"/>
                <w:left w:val="none" w:sz="0" w:space="0" w:color="auto"/>
                <w:bottom w:val="none" w:sz="0" w:space="0" w:color="auto"/>
                <w:right w:val="none" w:sz="0" w:space="0" w:color="auto"/>
              </w:divBdr>
              <w:divsChild>
                <w:div w:id="119156211">
                  <w:marLeft w:val="-15"/>
                  <w:marRight w:val="-15"/>
                  <w:marTop w:val="0"/>
                  <w:marBottom w:val="0"/>
                  <w:divBdr>
                    <w:top w:val="single" w:sz="6" w:space="0" w:color="E0E0E0"/>
                    <w:left w:val="single" w:sz="6" w:space="0" w:color="E0E0E0"/>
                    <w:bottom w:val="single" w:sz="6" w:space="0" w:color="E0E0E0"/>
                    <w:right w:val="single" w:sz="6" w:space="0" w:color="E0E0E0"/>
                  </w:divBdr>
                  <w:divsChild>
                    <w:div w:id="1325694888">
                      <w:marLeft w:val="-15"/>
                      <w:marRight w:val="-15"/>
                      <w:marTop w:val="0"/>
                      <w:marBottom w:val="0"/>
                      <w:divBdr>
                        <w:top w:val="none" w:sz="0" w:space="0" w:color="auto"/>
                        <w:left w:val="none" w:sz="0" w:space="0" w:color="auto"/>
                        <w:bottom w:val="none" w:sz="0" w:space="0" w:color="auto"/>
                        <w:right w:val="none" w:sz="0" w:space="0" w:color="auto"/>
                      </w:divBdr>
                    </w:div>
                  </w:divsChild>
                </w:div>
                <w:div w:id="1581674944">
                  <w:marLeft w:val="0"/>
                  <w:marRight w:val="0"/>
                  <w:marTop w:val="0"/>
                  <w:marBottom w:val="0"/>
                  <w:divBdr>
                    <w:top w:val="none" w:sz="0" w:space="0" w:color="auto"/>
                    <w:left w:val="none" w:sz="0" w:space="0" w:color="auto"/>
                    <w:bottom w:val="none" w:sz="0" w:space="0" w:color="auto"/>
                    <w:right w:val="none" w:sz="0" w:space="0" w:color="auto"/>
                  </w:divBdr>
                </w:div>
                <w:div w:id="998726717">
                  <w:marLeft w:val="0"/>
                  <w:marRight w:val="0"/>
                  <w:marTop w:val="0"/>
                  <w:marBottom w:val="0"/>
                  <w:divBdr>
                    <w:top w:val="none" w:sz="0" w:space="0" w:color="auto"/>
                    <w:left w:val="none" w:sz="0" w:space="0" w:color="auto"/>
                    <w:bottom w:val="none" w:sz="0" w:space="0" w:color="auto"/>
                    <w:right w:val="none" w:sz="0" w:space="0" w:color="auto"/>
                  </w:divBdr>
                  <w:divsChild>
                    <w:div w:id="20713985">
                      <w:marLeft w:val="0"/>
                      <w:marRight w:val="0"/>
                      <w:marTop w:val="0"/>
                      <w:marBottom w:val="0"/>
                      <w:divBdr>
                        <w:top w:val="none" w:sz="0" w:space="0" w:color="auto"/>
                        <w:left w:val="none" w:sz="0" w:space="0" w:color="auto"/>
                        <w:bottom w:val="none" w:sz="0" w:space="0" w:color="auto"/>
                        <w:right w:val="none" w:sz="0" w:space="0" w:color="auto"/>
                      </w:divBdr>
                    </w:div>
                  </w:divsChild>
                </w:div>
                <w:div w:id="594090276">
                  <w:marLeft w:val="0"/>
                  <w:marRight w:val="0"/>
                  <w:marTop w:val="0"/>
                  <w:marBottom w:val="0"/>
                  <w:divBdr>
                    <w:top w:val="none" w:sz="0" w:space="0" w:color="auto"/>
                    <w:left w:val="none" w:sz="0" w:space="0" w:color="auto"/>
                    <w:bottom w:val="none" w:sz="0" w:space="0" w:color="auto"/>
                    <w:right w:val="none" w:sz="0" w:space="0" w:color="auto"/>
                  </w:divBdr>
                  <w:divsChild>
                    <w:div w:id="100154933">
                      <w:marLeft w:val="0"/>
                      <w:marRight w:val="0"/>
                      <w:marTop w:val="0"/>
                      <w:marBottom w:val="0"/>
                      <w:divBdr>
                        <w:top w:val="none" w:sz="0" w:space="0" w:color="auto"/>
                        <w:left w:val="none" w:sz="0" w:space="0" w:color="auto"/>
                        <w:bottom w:val="none" w:sz="0" w:space="0" w:color="auto"/>
                        <w:right w:val="none" w:sz="0" w:space="0" w:color="auto"/>
                      </w:divBdr>
                      <w:divsChild>
                        <w:div w:id="1103918393">
                          <w:marLeft w:val="0"/>
                          <w:marRight w:val="0"/>
                          <w:marTop w:val="0"/>
                          <w:marBottom w:val="0"/>
                          <w:divBdr>
                            <w:top w:val="none" w:sz="0" w:space="0" w:color="auto"/>
                            <w:left w:val="none" w:sz="0" w:space="0" w:color="auto"/>
                            <w:bottom w:val="none" w:sz="0" w:space="0" w:color="auto"/>
                            <w:right w:val="none" w:sz="0" w:space="0" w:color="auto"/>
                          </w:divBdr>
                        </w:div>
                        <w:div w:id="10244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92106">
          <w:marLeft w:val="0"/>
          <w:marRight w:val="0"/>
          <w:marTop w:val="0"/>
          <w:marBottom w:val="0"/>
          <w:divBdr>
            <w:top w:val="none" w:sz="0" w:space="0" w:color="auto"/>
            <w:left w:val="none" w:sz="0" w:space="0" w:color="auto"/>
            <w:bottom w:val="none" w:sz="0" w:space="0" w:color="auto"/>
            <w:right w:val="none" w:sz="0" w:space="0" w:color="auto"/>
          </w:divBdr>
          <w:divsChild>
            <w:div w:id="553811516">
              <w:marLeft w:val="0"/>
              <w:marRight w:val="0"/>
              <w:marTop w:val="0"/>
              <w:marBottom w:val="0"/>
              <w:divBdr>
                <w:top w:val="none" w:sz="0" w:space="0" w:color="auto"/>
                <w:left w:val="none" w:sz="0" w:space="0" w:color="auto"/>
                <w:bottom w:val="none" w:sz="0" w:space="0" w:color="auto"/>
                <w:right w:val="none" w:sz="0" w:space="0" w:color="auto"/>
              </w:divBdr>
              <w:divsChild>
                <w:div w:id="2007895622">
                  <w:marLeft w:val="0"/>
                  <w:marRight w:val="0"/>
                  <w:marTop w:val="2700"/>
                  <w:marBottom w:val="360"/>
                  <w:divBdr>
                    <w:top w:val="none" w:sz="0" w:space="0" w:color="auto"/>
                    <w:left w:val="none" w:sz="0" w:space="0" w:color="auto"/>
                    <w:bottom w:val="none" w:sz="0" w:space="0" w:color="auto"/>
                    <w:right w:val="none" w:sz="0" w:space="0" w:color="auto"/>
                  </w:divBdr>
                  <w:divsChild>
                    <w:div w:id="1050763070">
                      <w:marLeft w:val="0"/>
                      <w:marRight w:val="0"/>
                      <w:marTop w:val="0"/>
                      <w:marBottom w:val="0"/>
                      <w:divBdr>
                        <w:top w:val="none" w:sz="0" w:space="0" w:color="auto"/>
                        <w:left w:val="none" w:sz="0" w:space="0" w:color="auto"/>
                        <w:bottom w:val="none" w:sz="0" w:space="0" w:color="auto"/>
                        <w:right w:val="none" w:sz="0" w:space="0" w:color="auto"/>
                      </w:divBdr>
                      <w:divsChild>
                        <w:div w:id="5469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4185">
          <w:marLeft w:val="0"/>
          <w:marRight w:val="0"/>
          <w:marTop w:val="0"/>
          <w:marBottom w:val="0"/>
          <w:divBdr>
            <w:top w:val="none" w:sz="0" w:space="0" w:color="auto"/>
            <w:left w:val="none" w:sz="0" w:space="0" w:color="auto"/>
            <w:bottom w:val="none" w:sz="0" w:space="0" w:color="auto"/>
            <w:right w:val="none" w:sz="0" w:space="0" w:color="auto"/>
          </w:divBdr>
          <w:divsChild>
            <w:div w:id="1125855455">
              <w:marLeft w:val="0"/>
              <w:marRight w:val="0"/>
              <w:marTop w:val="0"/>
              <w:marBottom w:val="0"/>
              <w:divBdr>
                <w:top w:val="none" w:sz="0" w:space="0" w:color="auto"/>
                <w:left w:val="none" w:sz="0" w:space="0" w:color="auto"/>
                <w:bottom w:val="none" w:sz="0" w:space="0" w:color="auto"/>
                <w:right w:val="none" w:sz="0" w:space="0" w:color="auto"/>
              </w:divBdr>
              <w:divsChild>
                <w:div w:id="819807015">
                  <w:marLeft w:val="0"/>
                  <w:marRight w:val="0"/>
                  <w:marTop w:val="2700"/>
                  <w:marBottom w:val="360"/>
                  <w:divBdr>
                    <w:top w:val="none" w:sz="0" w:space="0" w:color="auto"/>
                    <w:left w:val="none" w:sz="0" w:space="0" w:color="auto"/>
                    <w:bottom w:val="none" w:sz="0" w:space="0" w:color="auto"/>
                    <w:right w:val="none" w:sz="0" w:space="0" w:color="auto"/>
                  </w:divBdr>
                  <w:divsChild>
                    <w:div w:id="679508702">
                      <w:marLeft w:val="0"/>
                      <w:marRight w:val="0"/>
                      <w:marTop w:val="0"/>
                      <w:marBottom w:val="0"/>
                      <w:divBdr>
                        <w:top w:val="none" w:sz="0" w:space="0" w:color="auto"/>
                        <w:left w:val="none" w:sz="0" w:space="0" w:color="auto"/>
                        <w:bottom w:val="none" w:sz="0" w:space="0" w:color="auto"/>
                        <w:right w:val="none" w:sz="0" w:space="0" w:color="auto"/>
                      </w:divBdr>
                      <w:divsChild>
                        <w:div w:id="2640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519707">
      <w:bodyDiv w:val="1"/>
      <w:marLeft w:val="0"/>
      <w:marRight w:val="0"/>
      <w:marTop w:val="0"/>
      <w:marBottom w:val="0"/>
      <w:divBdr>
        <w:top w:val="none" w:sz="0" w:space="0" w:color="auto"/>
        <w:left w:val="none" w:sz="0" w:space="0" w:color="auto"/>
        <w:bottom w:val="none" w:sz="0" w:space="0" w:color="auto"/>
        <w:right w:val="none" w:sz="0" w:space="0" w:color="auto"/>
      </w:divBdr>
    </w:div>
    <w:div w:id="20543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0.png"/><Relationship Id="rId18" Type="http://schemas.openxmlformats.org/officeDocument/2006/relationships/image" Target="media/image8.png"/><Relationship Id="rId26" Type="http://schemas.openxmlformats.org/officeDocument/2006/relationships/hyperlink" Target="https://doi.org/10.1097/HP.0000000000001456" TargetMode="Externa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hyperlink" Target="https://doi.org/10.1371/journal.pcbi.1012536" TargetMode="External"/><Relationship Id="rId7" Type="http://schemas.openxmlformats.org/officeDocument/2006/relationships/image" Target="media/image1.png"/><Relationship Id="rId12" Type="http://schemas.openxmlformats.org/officeDocument/2006/relationships/image" Target="media/image40.png"/><Relationship Id="rId17" Type="http://schemas.openxmlformats.org/officeDocument/2006/relationships/image" Target="media/image70.png"/><Relationship Id="rId25" Type="http://schemas.openxmlformats.org/officeDocument/2006/relationships/hyperlink" Target="https://doi.org/10.1088/0952-4746/29/2/003" TargetMode="External"/><Relationship Id="rId33" Type="http://schemas.openxmlformats.org/officeDocument/2006/relationships/hyperlink" Target="https://doi.org/10.1016/j.canlet.2018.04.00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0.png"/><Relationship Id="rId20" Type="http://schemas.openxmlformats.org/officeDocument/2006/relationships/image" Target="media/image10.png"/><Relationship Id="rId29" Type="http://schemas.openxmlformats.org/officeDocument/2006/relationships/hyperlink" Target="https://doi.org/10.1097/00004032-199503000-000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x.doi.org/10.4314/dujopas.v11i2a.18" TargetMode="External"/><Relationship Id="rId32" Type="http://schemas.openxmlformats.org/officeDocument/2006/relationships/hyperlink" Target="https://doi.org/10.4236/wjnst.2021.11200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1016/j.softx.2015.06.001" TargetMode="External"/><Relationship Id="rId28" Type="http://schemas.openxmlformats.org/officeDocument/2006/relationships/hyperlink" Target="https://doi.org/10.1080/027868299304255"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hyperlink" Target="https://doi.org/10.11648/j.rst.20210701.1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yperlink" Target="https://doi.org/10.1016/j.icrp.2010.07.001" TargetMode="External"/><Relationship Id="rId30" Type="http://schemas.openxmlformats.org/officeDocument/2006/relationships/hyperlink" Target="https://doi.org/10.1038/sj.jea.7500236" TargetMode="External"/><Relationship Id="rId35" Type="http://schemas.openxmlformats.org/officeDocument/2006/relationships/hyperlink" Target="https://doi.org/10.1088/1361-6498/aac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19</Pages>
  <Words>6783</Words>
  <Characters>38665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2025-09-06T20:30:00Z</dcterms:created>
  <dcterms:modified xsi:type="dcterms:W3CDTF">2026-06-01T10:54:00Z</dcterms:modified>
</cp:coreProperties>
</file>