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C6" w:rsidRDefault="008D6473" w:rsidP="00D97EE9">
      <w:pPr>
        <w:jc w:val="both"/>
        <w:rPr>
          <w:rFonts w:ascii="Times New Roman" w:hAnsi="Times New Roman" w:cs="Times New Roman"/>
          <w:b/>
        </w:rPr>
      </w:pPr>
      <w:bookmarkStart w:id="0" w:name="_GoBack"/>
      <w:bookmarkEnd w:id="0"/>
      <w:r w:rsidRPr="004305D0">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27" type="#_x0000_t32" style="position:absolute;left:0;text-align:left;margin-left:-1.5pt;margin-top:30.35pt;width:470.25pt;height:0;z-index:251659264" o:connectortype="straight"/>
        </w:pict>
      </w:r>
      <w:r w:rsidR="004D1E2A" w:rsidRPr="004305D0">
        <w:rPr>
          <w:rFonts w:ascii="Times New Roman" w:hAnsi="Times New Roman" w:cs="Times New Roman"/>
          <w:b/>
        </w:rPr>
        <w:t>EVALUATION OF BACTERIA CONTAMINATION OF AFRICAN SALAD (ABACHA) SOLD IN ENUGU METROPOLI</w:t>
      </w:r>
      <w:r w:rsidR="002315C6" w:rsidRPr="004305D0">
        <w:rPr>
          <w:rFonts w:ascii="Times New Roman" w:hAnsi="Times New Roman" w:cs="Times New Roman"/>
          <w:b/>
        </w:rPr>
        <w:t>S</w:t>
      </w:r>
    </w:p>
    <w:p w:rsidR="008D6473" w:rsidRPr="008D6473" w:rsidRDefault="008D6473" w:rsidP="00D97EE9">
      <w:pPr>
        <w:jc w:val="both"/>
        <w:rPr>
          <w:rFonts w:ascii="Times New Roman" w:hAnsi="Times New Roman" w:cs="Times New Roman"/>
          <w:b/>
          <w:sz w:val="2"/>
        </w:rPr>
      </w:pPr>
    </w:p>
    <w:p w:rsidR="00C83370" w:rsidRPr="004305D0" w:rsidRDefault="006A7262" w:rsidP="00C83370">
      <w:pPr>
        <w:pStyle w:val="NormalWeb"/>
        <w:spacing w:line="360" w:lineRule="auto"/>
        <w:contextualSpacing/>
        <w:jc w:val="both"/>
        <w:rPr>
          <w:b/>
        </w:rPr>
      </w:pPr>
      <w:r w:rsidRPr="004305D0">
        <w:rPr>
          <w:b/>
        </w:rPr>
        <w:t>ABSTRACT</w:t>
      </w:r>
    </w:p>
    <w:p w:rsidR="00C83370" w:rsidRPr="004305D0" w:rsidRDefault="00456B82" w:rsidP="00C83370">
      <w:pPr>
        <w:pStyle w:val="NormalWeb"/>
        <w:contextualSpacing/>
        <w:jc w:val="both"/>
        <w:rPr>
          <w:sz w:val="22"/>
          <w:szCs w:val="22"/>
        </w:rPr>
      </w:pPr>
      <w:r w:rsidRPr="004305D0">
        <w:rPr>
          <w:noProof/>
        </w:rPr>
        <w:pict>
          <v:shape id="_x0000_s1030" type="#_x0000_t32" style="position:absolute;left:0;text-align:left;margin-left:-1.5pt;margin-top:263.75pt;width:472.5pt;height:0;z-index:251660288" o:connectortype="straight"/>
        </w:pict>
      </w:r>
      <w:proofErr w:type="spellStart"/>
      <w:r w:rsidR="00C83370" w:rsidRPr="004305D0">
        <w:rPr>
          <w:sz w:val="22"/>
          <w:szCs w:val="22"/>
        </w:rPr>
        <w:t>Abacha</w:t>
      </w:r>
      <w:proofErr w:type="spellEnd"/>
      <w:r w:rsidR="00C83370" w:rsidRPr="004305D0">
        <w:rPr>
          <w:sz w:val="22"/>
          <w:szCs w:val="22"/>
        </w:rPr>
        <w:t xml:space="preserve"> is a widely consumed delicacy in Nigeria, but improper handling and unhygienic preparation practices can lead to microbial contamination, posing health risks. The study aimed to isolate and identify bacterial species, assess contamination levels, and evaluate antibiotic sensitivity of the isolates. A cross-sectional study design was employed over six months, from July to December. The study area covered three major locations in Enugu Metropolis: Abakpa, Old Park, and New Market. A total of 30 </w:t>
      </w:r>
      <w:proofErr w:type="spellStart"/>
      <w:r w:rsidR="00C83370" w:rsidRPr="004305D0">
        <w:rPr>
          <w:i/>
          <w:iCs/>
          <w:sz w:val="22"/>
          <w:szCs w:val="22"/>
        </w:rPr>
        <w:t>Abacha</w:t>
      </w:r>
      <w:proofErr w:type="spellEnd"/>
      <w:r w:rsidR="00C83370" w:rsidRPr="004305D0">
        <w:rPr>
          <w:sz w:val="22"/>
          <w:szCs w:val="22"/>
        </w:rPr>
        <w:t xml:space="preserve"> samples were collected from vendors in three locations: Abakpa, Old Park, and New Market. Standard microbiological techniques were used to isolate and identify bacterial species. Antibiotic sensitivity testing was conducted using the disk diffusion method. The results showed that 53.3% of the samples were contaminated with bacteria, while 46.7% exhibited no growth. </w:t>
      </w:r>
      <w:r w:rsidR="00C83370" w:rsidRPr="004305D0">
        <w:rPr>
          <w:i/>
          <w:iCs/>
          <w:sz w:val="22"/>
          <w:szCs w:val="22"/>
        </w:rPr>
        <w:t xml:space="preserve">Staphylococcus </w:t>
      </w:r>
      <w:proofErr w:type="spellStart"/>
      <w:r w:rsidR="00C83370" w:rsidRPr="004305D0">
        <w:rPr>
          <w:i/>
          <w:iCs/>
          <w:sz w:val="22"/>
          <w:szCs w:val="22"/>
        </w:rPr>
        <w:t>aureus</w:t>
      </w:r>
      <w:proofErr w:type="spellEnd"/>
      <w:r w:rsidR="00C83370" w:rsidRPr="004305D0">
        <w:rPr>
          <w:sz w:val="22"/>
          <w:szCs w:val="22"/>
        </w:rPr>
        <w:t xml:space="preserve"> (50.0%) was the most prevalent isolate, followed by </w:t>
      </w:r>
      <w:r w:rsidR="00C83370" w:rsidRPr="004305D0">
        <w:rPr>
          <w:i/>
          <w:iCs/>
          <w:sz w:val="22"/>
          <w:szCs w:val="22"/>
        </w:rPr>
        <w:t xml:space="preserve">Pseudomonas </w:t>
      </w:r>
      <w:proofErr w:type="spellStart"/>
      <w:r w:rsidR="00C83370" w:rsidRPr="004305D0">
        <w:rPr>
          <w:i/>
          <w:iCs/>
          <w:sz w:val="22"/>
          <w:szCs w:val="22"/>
        </w:rPr>
        <w:t>aeruginosa</w:t>
      </w:r>
      <w:proofErr w:type="spellEnd"/>
      <w:r w:rsidR="00C83370" w:rsidRPr="004305D0">
        <w:rPr>
          <w:sz w:val="22"/>
          <w:szCs w:val="22"/>
        </w:rPr>
        <w:t xml:space="preserve"> (31.2%) and </w:t>
      </w:r>
      <w:r w:rsidR="00C83370" w:rsidRPr="004305D0">
        <w:rPr>
          <w:i/>
          <w:iCs/>
          <w:sz w:val="22"/>
          <w:szCs w:val="22"/>
        </w:rPr>
        <w:t>Escherichia coli</w:t>
      </w:r>
      <w:r w:rsidR="00C83370" w:rsidRPr="004305D0">
        <w:rPr>
          <w:sz w:val="22"/>
          <w:szCs w:val="22"/>
        </w:rPr>
        <w:t xml:space="preserve"> (18.8%). Bacterial contamination varied across locations, with Abakpa having the highest prevalence (60.0%). Antibiotic susceptibility testing revealed high sensitivity to gentamicin and ciprofloxacin, while resistance was notable against ceftriaxone and tetracycline. The findings align with previous studies, underscoring the significant public health risks associated with street-vended foods due to poor hygiene practices. Compared to other studies, the high resistance rates observed in some antibiotics emphasize the growing challenge of antimicrobial resistance. In conclusion, the study highlights the need for improved hygiene practices among vendors, stricter regulatory oversight, and access to clean water during food preparation. Public health awareness campaigns should focus on educating both vendors and consumers about the risks of bacterial contamination. Further research is recommended to evaluate the effectiveness of interventions aimed at improving the microbiological safety of street-vended foods.</w:t>
      </w:r>
    </w:p>
    <w:p w:rsidR="00B31964" w:rsidRPr="004305D0" w:rsidRDefault="00B31964" w:rsidP="00D97EE9">
      <w:pPr>
        <w:jc w:val="both"/>
        <w:rPr>
          <w:rFonts w:ascii="Times New Roman" w:hAnsi="Times New Roman" w:cs="Times New Roman"/>
          <w:b/>
        </w:rPr>
      </w:pPr>
    </w:p>
    <w:p w:rsidR="006A7262" w:rsidRPr="004305D0" w:rsidRDefault="006A7262" w:rsidP="00B31964">
      <w:pPr>
        <w:pStyle w:val="ListParagraph"/>
        <w:numPr>
          <w:ilvl w:val="0"/>
          <w:numId w:val="2"/>
        </w:numPr>
        <w:jc w:val="both"/>
        <w:rPr>
          <w:rFonts w:ascii="Times New Roman" w:hAnsi="Times New Roman" w:cs="Times New Roman"/>
          <w:b/>
        </w:rPr>
      </w:pPr>
      <w:r w:rsidRPr="004305D0">
        <w:rPr>
          <w:rFonts w:ascii="Times New Roman" w:hAnsi="Times New Roman" w:cs="Times New Roman"/>
          <w:b/>
        </w:rPr>
        <w:t>Introduction</w:t>
      </w:r>
    </w:p>
    <w:p w:rsidR="006A7262" w:rsidRPr="004305D0" w:rsidRDefault="006A7262" w:rsidP="00D97EE9">
      <w:pPr>
        <w:jc w:val="both"/>
        <w:rPr>
          <w:rFonts w:ascii="Times New Roman" w:hAnsi="Times New Roman" w:cs="Times New Roman"/>
        </w:rPr>
      </w:pPr>
      <w:r w:rsidRPr="004305D0">
        <w:rPr>
          <w:rFonts w:ascii="Times New Roman" w:hAnsi="Times New Roman" w:cs="Times New Roman"/>
        </w:rPr>
        <w:t>African salad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is a popular traditional dish in southeastern Nigeria, prepared from cassava tubers that are boiled, shredded, fermented, and sun-dried. While cherished for its flavor and cultural importance,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is often prepared and sold in environments lacking sanitary controls, exposing it to bacterial contamination (</w:t>
      </w:r>
      <w:proofErr w:type="spellStart"/>
      <w:r w:rsidRPr="004305D0">
        <w:rPr>
          <w:rFonts w:ascii="Times New Roman" w:hAnsi="Times New Roman" w:cs="Times New Roman"/>
        </w:rPr>
        <w:t>Igbinosa</w:t>
      </w:r>
      <w:proofErr w:type="spellEnd"/>
      <w:r w:rsidRPr="004305D0">
        <w:rPr>
          <w:rFonts w:ascii="Times New Roman" w:hAnsi="Times New Roman" w:cs="Times New Roman"/>
        </w:rPr>
        <w:t xml:space="preserve"> et al., 2018). Such contamination poses significant public health risks, including foodborne illnesses caused by pathogens like Staphylococcus </w:t>
      </w:r>
      <w:proofErr w:type="spellStart"/>
      <w:r w:rsidRPr="004305D0">
        <w:rPr>
          <w:rFonts w:ascii="Times New Roman" w:hAnsi="Times New Roman" w:cs="Times New Roman"/>
        </w:rPr>
        <w:t>aureus</w:t>
      </w:r>
      <w:proofErr w:type="spellEnd"/>
      <w:r w:rsidRPr="004305D0">
        <w:rPr>
          <w:rFonts w:ascii="Times New Roman" w:hAnsi="Times New Roman" w:cs="Times New Roman"/>
          <w:i/>
        </w:rPr>
        <w:t>, Escherichia coli</w:t>
      </w:r>
      <w:r w:rsidRPr="004305D0">
        <w:rPr>
          <w:rFonts w:ascii="Times New Roman" w:hAnsi="Times New Roman" w:cs="Times New Roman"/>
        </w:rPr>
        <w:t xml:space="preserve">, and </w:t>
      </w:r>
      <w:r w:rsidRPr="004305D0">
        <w:rPr>
          <w:rFonts w:ascii="Times New Roman" w:hAnsi="Times New Roman" w:cs="Times New Roman"/>
          <w:i/>
        </w:rPr>
        <w:t>Salmonella spp.</w:t>
      </w:r>
      <w:r w:rsidRPr="004305D0">
        <w:rPr>
          <w:rFonts w:ascii="Times New Roman" w:hAnsi="Times New Roman" w:cs="Times New Roman"/>
        </w:rPr>
        <w:t xml:space="preserve"> (</w:t>
      </w:r>
      <w:proofErr w:type="spellStart"/>
      <w:r w:rsidRPr="004305D0">
        <w:rPr>
          <w:rFonts w:ascii="Times New Roman" w:hAnsi="Times New Roman" w:cs="Times New Roman"/>
        </w:rPr>
        <w:t>Eze</w:t>
      </w:r>
      <w:proofErr w:type="spellEnd"/>
      <w:r w:rsidRPr="004305D0">
        <w:rPr>
          <w:rFonts w:ascii="Times New Roman" w:hAnsi="Times New Roman" w:cs="Times New Roman"/>
        </w:rPr>
        <w:t xml:space="preserve"> et al., 2017).</w:t>
      </w:r>
    </w:p>
    <w:p w:rsidR="006A7262" w:rsidRPr="004305D0" w:rsidRDefault="006A7262" w:rsidP="00D97EE9">
      <w:pPr>
        <w:jc w:val="both"/>
        <w:rPr>
          <w:rFonts w:ascii="Times New Roman" w:hAnsi="Times New Roman" w:cs="Times New Roman"/>
        </w:rPr>
      </w:pPr>
      <w:r w:rsidRPr="004305D0">
        <w:rPr>
          <w:rFonts w:ascii="Times New Roman" w:hAnsi="Times New Roman" w:cs="Times New Roman"/>
        </w:rPr>
        <w:t xml:space="preserve">This study aimed to evaluate the microbial contamination of </w:t>
      </w:r>
      <w:proofErr w:type="spellStart"/>
      <w:proofErr w:type="gramStart"/>
      <w:r w:rsidRPr="004305D0">
        <w:rPr>
          <w:rFonts w:ascii="Times New Roman" w:hAnsi="Times New Roman" w:cs="Times New Roman"/>
        </w:rPr>
        <w:t>Abacha</w:t>
      </w:r>
      <w:proofErr w:type="spellEnd"/>
      <w:r w:rsidRPr="004305D0">
        <w:rPr>
          <w:rFonts w:ascii="Times New Roman" w:hAnsi="Times New Roman" w:cs="Times New Roman"/>
        </w:rPr>
        <w:t xml:space="preserve">  sold</w:t>
      </w:r>
      <w:proofErr w:type="gramEnd"/>
      <w:r w:rsidRPr="004305D0">
        <w:rPr>
          <w:rFonts w:ascii="Times New Roman" w:hAnsi="Times New Roman" w:cs="Times New Roman"/>
        </w:rPr>
        <w:t xml:space="preserve"> in Enugu Metropolis, identify common bacterial isolates, assess their antibiotic resistance profiles, and suggest strategies for mitigating contamination.</w:t>
      </w:r>
    </w:p>
    <w:p w:rsidR="006A7262" w:rsidRPr="004305D0" w:rsidRDefault="006A7262" w:rsidP="00D97EE9">
      <w:pPr>
        <w:contextualSpacing/>
        <w:jc w:val="both"/>
        <w:rPr>
          <w:rFonts w:ascii="Times New Roman" w:hAnsi="Times New Roman" w:cs="Times New Roman"/>
          <w:b/>
        </w:rPr>
      </w:pPr>
      <w:r w:rsidRPr="004305D0">
        <w:rPr>
          <w:rFonts w:ascii="Times New Roman" w:hAnsi="Times New Roman" w:cs="Times New Roman"/>
          <w:b/>
        </w:rPr>
        <w:t xml:space="preserve">Aims and Objectives </w:t>
      </w:r>
    </w:p>
    <w:p w:rsidR="009F150C" w:rsidRPr="004305D0" w:rsidRDefault="006A7262" w:rsidP="00D97EE9">
      <w:pPr>
        <w:pStyle w:val="ListParagraph"/>
        <w:numPr>
          <w:ilvl w:val="0"/>
          <w:numId w:val="1"/>
        </w:numPr>
        <w:jc w:val="both"/>
        <w:rPr>
          <w:rFonts w:ascii="Times New Roman" w:hAnsi="Times New Roman" w:cs="Times New Roman"/>
          <w:b/>
        </w:rPr>
      </w:pPr>
      <w:r w:rsidRPr="004305D0">
        <w:rPr>
          <w:rStyle w:val="Strong"/>
          <w:rFonts w:ascii="Times New Roman" w:hAnsi="Times New Roman" w:cs="Times New Roman"/>
          <w:b w:val="0"/>
        </w:rPr>
        <w:t xml:space="preserve">To Isolate and Identify Bacterial Species Present in </w:t>
      </w:r>
      <w:proofErr w:type="spellStart"/>
      <w:r w:rsidRPr="004305D0">
        <w:rPr>
          <w:rStyle w:val="Strong"/>
          <w:rFonts w:ascii="Times New Roman" w:hAnsi="Times New Roman" w:cs="Times New Roman"/>
          <w:b w:val="0"/>
        </w:rPr>
        <w:t>Abacha</w:t>
      </w:r>
      <w:proofErr w:type="spellEnd"/>
      <w:r w:rsidRPr="004305D0">
        <w:rPr>
          <w:rStyle w:val="Strong"/>
          <w:rFonts w:ascii="Times New Roman" w:hAnsi="Times New Roman" w:cs="Times New Roman"/>
          <w:b w:val="0"/>
        </w:rPr>
        <w:t xml:space="preserve"> Samples Collected from Vendors in Enugu Metropolis</w:t>
      </w:r>
      <w:r w:rsidRPr="004305D0">
        <w:rPr>
          <w:rFonts w:ascii="Times New Roman" w:hAnsi="Times New Roman" w:cs="Times New Roman"/>
          <w:b/>
        </w:rPr>
        <w:t xml:space="preserve"> </w:t>
      </w:r>
    </w:p>
    <w:p w:rsidR="007E1AC5" w:rsidRPr="004305D0" w:rsidRDefault="007E1AC5" w:rsidP="00D97EE9">
      <w:pPr>
        <w:pStyle w:val="ListParagraph"/>
        <w:numPr>
          <w:ilvl w:val="0"/>
          <w:numId w:val="1"/>
        </w:numPr>
        <w:jc w:val="both"/>
        <w:rPr>
          <w:rFonts w:ascii="Times New Roman" w:hAnsi="Times New Roman" w:cs="Times New Roman"/>
          <w:b/>
        </w:rPr>
      </w:pPr>
      <w:r w:rsidRPr="004305D0">
        <w:rPr>
          <w:rFonts w:ascii="Times New Roman" w:hAnsi="Times New Roman" w:cs="Times New Roman"/>
          <w:bCs/>
        </w:rPr>
        <w:t xml:space="preserve"> To Check the Sensitivity of Various Bacterial Isolates in </w:t>
      </w:r>
      <w:proofErr w:type="spellStart"/>
      <w:r w:rsidRPr="004305D0">
        <w:rPr>
          <w:rFonts w:ascii="Times New Roman" w:hAnsi="Times New Roman" w:cs="Times New Roman"/>
          <w:bCs/>
        </w:rPr>
        <w:t>Abacha</w:t>
      </w:r>
      <w:proofErr w:type="spellEnd"/>
      <w:r w:rsidRPr="004305D0">
        <w:rPr>
          <w:rFonts w:ascii="Times New Roman" w:hAnsi="Times New Roman" w:cs="Times New Roman"/>
          <w:bCs/>
        </w:rPr>
        <w:t xml:space="preserve"> Sold in Enugu Metropolis</w:t>
      </w:r>
      <w:r w:rsidRPr="004305D0">
        <w:rPr>
          <w:rFonts w:ascii="Times New Roman" w:hAnsi="Times New Roman" w:cs="Times New Roman"/>
        </w:rPr>
        <w:t xml:space="preserve"> </w:t>
      </w:r>
    </w:p>
    <w:p w:rsidR="009F150C" w:rsidRPr="004305D0" w:rsidRDefault="007E1AC5" w:rsidP="00D97EE9">
      <w:pPr>
        <w:pStyle w:val="ListParagraph"/>
        <w:numPr>
          <w:ilvl w:val="0"/>
          <w:numId w:val="1"/>
        </w:numPr>
        <w:spacing w:before="100" w:beforeAutospacing="1" w:after="100" w:afterAutospacing="1"/>
        <w:jc w:val="both"/>
        <w:outlineLvl w:val="2"/>
        <w:rPr>
          <w:rFonts w:ascii="Times New Roman" w:eastAsia="Times New Roman" w:hAnsi="Times New Roman" w:cs="Times New Roman"/>
          <w:bCs/>
        </w:rPr>
      </w:pPr>
      <w:r w:rsidRPr="004305D0">
        <w:rPr>
          <w:rFonts w:ascii="Times New Roman" w:hAnsi="Times New Roman" w:cs="Times New Roman"/>
          <w:bCs/>
        </w:rPr>
        <w:t xml:space="preserve"> To determine the level of Bacteria contamination of African salad(</w:t>
      </w:r>
      <w:proofErr w:type="spellStart"/>
      <w:r w:rsidRPr="004305D0">
        <w:rPr>
          <w:rFonts w:ascii="Times New Roman" w:hAnsi="Times New Roman" w:cs="Times New Roman"/>
          <w:bCs/>
        </w:rPr>
        <w:t>Abacha</w:t>
      </w:r>
      <w:proofErr w:type="spellEnd"/>
      <w:r w:rsidRPr="004305D0">
        <w:rPr>
          <w:rFonts w:ascii="Times New Roman" w:hAnsi="Times New Roman" w:cs="Times New Roman"/>
          <w:bCs/>
        </w:rPr>
        <w:t>) sold on Enugu Metropolis</w:t>
      </w:r>
      <w:r w:rsidRPr="004305D0">
        <w:rPr>
          <w:rFonts w:ascii="Times New Roman" w:hAnsi="Times New Roman" w:cs="Times New Roman"/>
        </w:rPr>
        <w:t xml:space="preserve"> </w:t>
      </w:r>
    </w:p>
    <w:p w:rsidR="009B5E8B" w:rsidRPr="004305D0" w:rsidRDefault="009B5E8B" w:rsidP="009B5E8B">
      <w:pPr>
        <w:pStyle w:val="ListParagraph"/>
        <w:spacing w:before="100" w:beforeAutospacing="1" w:after="100" w:afterAutospacing="1"/>
        <w:ind w:left="540"/>
        <w:jc w:val="both"/>
        <w:outlineLvl w:val="2"/>
        <w:rPr>
          <w:rFonts w:ascii="Times New Roman" w:eastAsia="Times New Roman" w:hAnsi="Times New Roman" w:cs="Times New Roman"/>
          <w:bCs/>
        </w:rPr>
      </w:pPr>
    </w:p>
    <w:p w:rsidR="006A7262" w:rsidRPr="004305D0" w:rsidRDefault="008D2394" w:rsidP="00B31964">
      <w:pPr>
        <w:pStyle w:val="ListParagraph"/>
        <w:numPr>
          <w:ilvl w:val="0"/>
          <w:numId w:val="2"/>
        </w:numPr>
        <w:jc w:val="both"/>
        <w:rPr>
          <w:rFonts w:ascii="Times New Roman" w:hAnsi="Times New Roman" w:cs="Times New Roman"/>
          <w:b/>
        </w:rPr>
      </w:pPr>
      <w:r w:rsidRPr="004305D0">
        <w:rPr>
          <w:rFonts w:ascii="Times New Roman" w:hAnsi="Times New Roman" w:cs="Times New Roman"/>
        </w:rPr>
        <w:t xml:space="preserve"> </w:t>
      </w:r>
      <w:r w:rsidRPr="004305D0">
        <w:rPr>
          <w:rFonts w:ascii="Times New Roman" w:hAnsi="Times New Roman" w:cs="Times New Roman"/>
          <w:b/>
        </w:rPr>
        <w:t>Materials a</w:t>
      </w:r>
      <w:r w:rsidR="007E1AC5" w:rsidRPr="004305D0">
        <w:rPr>
          <w:rFonts w:ascii="Times New Roman" w:hAnsi="Times New Roman" w:cs="Times New Roman"/>
          <w:b/>
        </w:rPr>
        <w:t>nd Method</w:t>
      </w:r>
    </w:p>
    <w:p w:rsidR="008D2394" w:rsidRPr="004305D0" w:rsidRDefault="008D2394" w:rsidP="00D97EE9">
      <w:pPr>
        <w:jc w:val="both"/>
        <w:rPr>
          <w:rFonts w:ascii="Times New Roman" w:hAnsi="Times New Roman" w:cs="Times New Roman"/>
          <w:b/>
        </w:rPr>
      </w:pPr>
      <w:r w:rsidRPr="004305D0">
        <w:rPr>
          <w:rFonts w:ascii="Times New Roman" w:hAnsi="Times New Roman" w:cs="Times New Roman"/>
          <w:b/>
        </w:rPr>
        <w:t>Study Design and Sample Collection</w:t>
      </w:r>
    </w:p>
    <w:p w:rsidR="008D2394" w:rsidRPr="004305D0" w:rsidRDefault="008D2394" w:rsidP="00D97EE9">
      <w:pPr>
        <w:jc w:val="both"/>
        <w:rPr>
          <w:rFonts w:ascii="Times New Roman" w:hAnsi="Times New Roman" w:cs="Times New Roman"/>
        </w:rPr>
      </w:pPr>
      <w:r w:rsidRPr="004305D0">
        <w:rPr>
          <w:rFonts w:ascii="Times New Roman" w:hAnsi="Times New Roman" w:cs="Times New Roman"/>
        </w:rPr>
        <w:t xml:space="preserve">A cross-sectional study was conducted, collecting 30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samples from three major areas in Enugu Metropolis: Abakpa (n=10), Old Park (n=10), and New Market (n=10). Samples were aseptically collected in sterile containers and transported to the laboratory for analysis.</w:t>
      </w:r>
    </w:p>
    <w:p w:rsidR="008D2394" w:rsidRPr="004305D0" w:rsidRDefault="008D2394" w:rsidP="00D97EE9">
      <w:pPr>
        <w:jc w:val="both"/>
        <w:rPr>
          <w:rFonts w:ascii="Times New Roman" w:hAnsi="Times New Roman" w:cs="Times New Roman"/>
          <w:b/>
        </w:rPr>
      </w:pPr>
      <w:r w:rsidRPr="004305D0">
        <w:rPr>
          <w:rFonts w:ascii="Times New Roman" w:hAnsi="Times New Roman" w:cs="Times New Roman"/>
          <w:b/>
        </w:rPr>
        <w:t>Microbiological Analysis</w:t>
      </w:r>
    </w:p>
    <w:p w:rsidR="008D2394" w:rsidRPr="004305D0" w:rsidRDefault="008D2394" w:rsidP="00D97EE9">
      <w:pPr>
        <w:jc w:val="both"/>
        <w:rPr>
          <w:rFonts w:ascii="Times New Roman" w:hAnsi="Times New Roman" w:cs="Times New Roman"/>
        </w:rPr>
      </w:pPr>
      <w:r w:rsidRPr="004305D0">
        <w:rPr>
          <w:rFonts w:ascii="Times New Roman" w:hAnsi="Times New Roman" w:cs="Times New Roman"/>
        </w:rPr>
        <w:t>Standard microbiological techniques were used to isolate and identify bacterial species. Samples were cultured on selective media, and isolates were identified based on morphological, biochemical, and serological characteristics.</w:t>
      </w:r>
    </w:p>
    <w:p w:rsidR="008D2394" w:rsidRPr="004305D0" w:rsidRDefault="008D2394" w:rsidP="00D97EE9">
      <w:pPr>
        <w:jc w:val="both"/>
        <w:rPr>
          <w:rFonts w:ascii="Times New Roman" w:hAnsi="Times New Roman" w:cs="Times New Roman"/>
          <w:b/>
        </w:rPr>
      </w:pPr>
      <w:r w:rsidRPr="004305D0">
        <w:rPr>
          <w:rFonts w:ascii="Times New Roman" w:hAnsi="Times New Roman" w:cs="Times New Roman"/>
          <w:b/>
        </w:rPr>
        <w:t>Antibiotic Sensitivity Testing</w:t>
      </w:r>
    </w:p>
    <w:p w:rsidR="008D2394" w:rsidRPr="004305D0" w:rsidRDefault="008D2394" w:rsidP="00D97EE9">
      <w:pPr>
        <w:jc w:val="both"/>
        <w:rPr>
          <w:rFonts w:ascii="Times New Roman" w:hAnsi="Times New Roman" w:cs="Times New Roman"/>
        </w:rPr>
      </w:pPr>
      <w:r w:rsidRPr="004305D0">
        <w:rPr>
          <w:rFonts w:ascii="Times New Roman" w:hAnsi="Times New Roman" w:cs="Times New Roman"/>
        </w:rPr>
        <w:t>Antibiotic susceptibility of bacterial isolates was determined using the Kirby-Bauer disk diffusion method. Results were interpreted according to Clinical and Laboratory Standards Institute (CLSI) guidelines.</w:t>
      </w:r>
    </w:p>
    <w:p w:rsidR="004D1E2A" w:rsidRPr="004305D0" w:rsidRDefault="004D1E2A" w:rsidP="00B31964">
      <w:pPr>
        <w:pStyle w:val="ListParagraph"/>
        <w:numPr>
          <w:ilvl w:val="0"/>
          <w:numId w:val="2"/>
        </w:numPr>
        <w:jc w:val="both"/>
        <w:rPr>
          <w:rFonts w:ascii="Times New Roman" w:hAnsi="Times New Roman" w:cs="Times New Roman"/>
          <w:b/>
        </w:rPr>
      </w:pPr>
      <w:r w:rsidRPr="004305D0">
        <w:rPr>
          <w:rFonts w:ascii="Times New Roman" w:hAnsi="Times New Roman" w:cs="Times New Roman"/>
          <w:b/>
        </w:rPr>
        <w:t>Results</w:t>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rPr>
        <w:t xml:space="preserve"> Out of 30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samples analyzed, 53.3% showed bacterial growth, while 46.7% exhibited no contamination (Table 1). The most frequently isolated bacteria were </w:t>
      </w:r>
      <w:r w:rsidRPr="004305D0">
        <w:rPr>
          <w:rFonts w:ascii="Times New Roman" w:hAnsi="Times New Roman" w:cs="Times New Roman"/>
          <w:i/>
        </w:rPr>
        <w:t xml:space="preserve">Staphylococcus </w:t>
      </w:r>
      <w:proofErr w:type="spellStart"/>
      <w:r w:rsidRPr="004305D0">
        <w:rPr>
          <w:rFonts w:ascii="Times New Roman" w:hAnsi="Times New Roman" w:cs="Times New Roman"/>
          <w:i/>
        </w:rPr>
        <w:t>aureus</w:t>
      </w:r>
      <w:proofErr w:type="spellEnd"/>
      <w:r w:rsidRPr="004305D0">
        <w:rPr>
          <w:rFonts w:ascii="Times New Roman" w:hAnsi="Times New Roman" w:cs="Times New Roman"/>
        </w:rPr>
        <w:t xml:space="preserve"> (50.0%), followed by </w:t>
      </w:r>
      <w:r w:rsidRPr="004305D0">
        <w:rPr>
          <w:rFonts w:ascii="Times New Roman" w:hAnsi="Times New Roman" w:cs="Times New Roman"/>
          <w:i/>
        </w:rPr>
        <w:t xml:space="preserve">Pseudomonas </w:t>
      </w:r>
      <w:proofErr w:type="spellStart"/>
      <w:proofErr w:type="gramStart"/>
      <w:r w:rsidRPr="004305D0">
        <w:rPr>
          <w:rFonts w:ascii="Times New Roman" w:hAnsi="Times New Roman" w:cs="Times New Roman"/>
          <w:i/>
        </w:rPr>
        <w:t>aeruginosa</w:t>
      </w:r>
      <w:proofErr w:type="spellEnd"/>
      <w:r w:rsidRPr="004305D0">
        <w:rPr>
          <w:rFonts w:ascii="Times New Roman" w:hAnsi="Times New Roman" w:cs="Times New Roman"/>
        </w:rPr>
        <w:t xml:space="preserve">  (</w:t>
      </w:r>
      <w:proofErr w:type="gramEnd"/>
      <w:r w:rsidRPr="004305D0">
        <w:rPr>
          <w:rFonts w:ascii="Times New Roman" w:hAnsi="Times New Roman" w:cs="Times New Roman"/>
        </w:rPr>
        <w:t xml:space="preserve">31.2%) and </w:t>
      </w:r>
      <w:r w:rsidRPr="004305D0">
        <w:rPr>
          <w:rFonts w:ascii="Times New Roman" w:hAnsi="Times New Roman" w:cs="Times New Roman"/>
          <w:i/>
        </w:rPr>
        <w:t xml:space="preserve">Escherichia coli </w:t>
      </w:r>
      <w:r w:rsidRPr="004305D0">
        <w:rPr>
          <w:rFonts w:ascii="Times New Roman" w:hAnsi="Times New Roman" w:cs="Times New Roman"/>
        </w:rPr>
        <w:t>(18.8%)</w:t>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rPr>
        <w:t xml:space="preserve"> Table 1: Isolated and identified bacterial species present in African salad (</w:t>
      </w:r>
      <w:proofErr w:type="spellStart"/>
      <w:r w:rsidRPr="004305D0">
        <w:rPr>
          <w:rFonts w:ascii="Times New Roman" w:hAnsi="Times New Roman" w:cs="Times New Roman"/>
          <w:b/>
        </w:rPr>
        <w:t>abacha</w:t>
      </w:r>
      <w:proofErr w:type="spellEnd"/>
      <w:r w:rsidRPr="004305D0">
        <w:rPr>
          <w:rFonts w:ascii="Times New Roman" w:hAnsi="Times New Roman" w:cs="Times New Roman"/>
          <w:b/>
        </w:rPr>
        <w:t>) samples collected from vendors in Enugu metropolis</w:t>
      </w:r>
    </w:p>
    <w:tbl>
      <w:tblPr>
        <w:tblStyle w:val="TableGrid"/>
        <w:tblW w:w="926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2"/>
        <w:gridCol w:w="1618"/>
        <w:gridCol w:w="1822"/>
      </w:tblGrid>
      <w:tr w:rsidR="004D1E2A" w:rsidRPr="004305D0" w:rsidTr="004C788D">
        <w:trPr>
          <w:trHeight w:val="541"/>
          <w:jc w:val="center"/>
        </w:trPr>
        <w:tc>
          <w:tcPr>
            <w:tcW w:w="5822" w:type="dxa"/>
            <w:vMerge w:val="restart"/>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b/>
              </w:rPr>
            </w:pPr>
            <w:bookmarkStart w:id="1" w:name="_Hlk180289843"/>
            <w:r w:rsidRPr="004305D0">
              <w:rPr>
                <w:rFonts w:ascii="Times New Roman" w:hAnsi="Times New Roman" w:cs="Times New Roman"/>
                <w:b/>
              </w:rPr>
              <w:t>African salad (</w:t>
            </w:r>
            <w:proofErr w:type="spellStart"/>
            <w:r w:rsidRPr="004305D0">
              <w:rPr>
                <w:rFonts w:ascii="Times New Roman" w:hAnsi="Times New Roman" w:cs="Times New Roman"/>
                <w:b/>
              </w:rPr>
              <w:t>abacha</w:t>
            </w:r>
            <w:proofErr w:type="spellEnd"/>
            <w:r w:rsidRPr="004305D0">
              <w:rPr>
                <w:rFonts w:ascii="Times New Roman" w:hAnsi="Times New Roman" w:cs="Times New Roman"/>
                <w:b/>
              </w:rPr>
              <w:t xml:space="preserve">) samples collected from </w:t>
            </w:r>
          </w:p>
          <w:p w:rsidR="004D1E2A" w:rsidRPr="004305D0" w:rsidRDefault="004D1E2A" w:rsidP="00D97EE9">
            <w:pPr>
              <w:spacing w:line="276" w:lineRule="auto"/>
              <w:jc w:val="both"/>
              <w:rPr>
                <w:rFonts w:ascii="Times New Roman" w:hAnsi="Times New Roman" w:cs="Times New Roman"/>
                <w:b/>
              </w:rPr>
            </w:pPr>
            <w:r w:rsidRPr="004305D0">
              <w:rPr>
                <w:rFonts w:ascii="Times New Roman" w:hAnsi="Times New Roman" w:cs="Times New Roman"/>
                <w:b/>
              </w:rPr>
              <w:t>vendors in Enugu metropolis (n=30)</w:t>
            </w:r>
          </w:p>
          <w:p w:rsidR="004D1E2A" w:rsidRPr="004305D0" w:rsidRDefault="004D1E2A" w:rsidP="00D97EE9">
            <w:pPr>
              <w:spacing w:line="276" w:lineRule="auto"/>
              <w:jc w:val="both"/>
              <w:rPr>
                <w:rFonts w:ascii="Times New Roman" w:hAnsi="Times New Roman" w:cs="Times New Roman"/>
                <w:b/>
                <w:bCs/>
              </w:rPr>
            </w:pPr>
          </w:p>
        </w:tc>
        <w:tc>
          <w:tcPr>
            <w:tcW w:w="3440" w:type="dxa"/>
            <w:gridSpan w:val="2"/>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Prevalence</w:t>
            </w:r>
          </w:p>
        </w:tc>
      </w:tr>
      <w:tr w:rsidR="004D1E2A" w:rsidRPr="004305D0" w:rsidTr="004C788D">
        <w:trPr>
          <w:trHeight w:val="549"/>
          <w:jc w:val="center"/>
        </w:trPr>
        <w:tc>
          <w:tcPr>
            <w:tcW w:w="5822" w:type="dxa"/>
            <w:vMerge/>
            <w:tcBorders>
              <w:top w:val="nil"/>
              <w:bottom w:val="single" w:sz="4" w:space="0" w:color="auto"/>
            </w:tcBorders>
            <w:vAlign w:val="center"/>
          </w:tcPr>
          <w:p w:rsidR="004D1E2A" w:rsidRPr="004305D0" w:rsidRDefault="004D1E2A" w:rsidP="00D97EE9">
            <w:pPr>
              <w:spacing w:line="276" w:lineRule="auto"/>
              <w:jc w:val="both"/>
              <w:rPr>
                <w:rFonts w:ascii="Times New Roman" w:hAnsi="Times New Roman" w:cs="Times New Roman"/>
                <w:b/>
                <w:bCs/>
                <w:kern w:val="2"/>
              </w:rPr>
            </w:pPr>
          </w:p>
        </w:tc>
        <w:tc>
          <w:tcPr>
            <w:tcW w:w="1618" w:type="dxa"/>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w:t>
            </w:r>
          </w:p>
        </w:tc>
        <w:tc>
          <w:tcPr>
            <w:tcW w:w="1822" w:type="dxa"/>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w:t>
            </w:r>
          </w:p>
        </w:tc>
      </w:tr>
      <w:tr w:rsidR="004D1E2A" w:rsidRPr="004305D0" w:rsidTr="004C788D">
        <w:trPr>
          <w:trHeight w:val="656"/>
          <w:jc w:val="center"/>
        </w:trPr>
        <w:tc>
          <w:tcPr>
            <w:tcW w:w="5822"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No bacterial growth</w:t>
            </w:r>
          </w:p>
        </w:tc>
        <w:tc>
          <w:tcPr>
            <w:tcW w:w="1618"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14</w:t>
            </w:r>
          </w:p>
        </w:tc>
        <w:tc>
          <w:tcPr>
            <w:tcW w:w="1822"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46.7</w:t>
            </w:r>
          </w:p>
        </w:tc>
      </w:tr>
      <w:tr w:rsidR="004D1E2A" w:rsidRPr="004305D0" w:rsidTr="004C788D">
        <w:trPr>
          <w:trHeight w:val="507"/>
          <w:jc w:val="center"/>
        </w:trPr>
        <w:tc>
          <w:tcPr>
            <w:tcW w:w="5822"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 xml:space="preserve">Bacteria Growth </w:t>
            </w:r>
          </w:p>
        </w:tc>
        <w:tc>
          <w:tcPr>
            <w:tcW w:w="1618"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16</w:t>
            </w:r>
          </w:p>
        </w:tc>
        <w:tc>
          <w:tcPr>
            <w:tcW w:w="1822"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53.3</w:t>
            </w:r>
          </w:p>
        </w:tc>
      </w:tr>
      <w:tr w:rsidR="004D1E2A" w:rsidRPr="004305D0" w:rsidTr="004C788D">
        <w:trPr>
          <w:trHeight w:val="622"/>
          <w:jc w:val="center"/>
        </w:trPr>
        <w:tc>
          <w:tcPr>
            <w:tcW w:w="5822" w:type="dxa"/>
          </w:tcPr>
          <w:p w:rsidR="004D1E2A" w:rsidRPr="004305D0" w:rsidRDefault="004D1E2A" w:rsidP="00D97EE9">
            <w:pPr>
              <w:spacing w:line="276" w:lineRule="auto"/>
              <w:ind w:left="179"/>
              <w:jc w:val="both"/>
              <w:rPr>
                <w:rFonts w:ascii="Times New Roman" w:hAnsi="Times New Roman" w:cs="Times New Roman"/>
                <w:i/>
                <w:iCs/>
              </w:rPr>
            </w:pPr>
            <w:r w:rsidRPr="004305D0">
              <w:rPr>
                <w:rFonts w:ascii="Times New Roman" w:hAnsi="Times New Roman" w:cs="Times New Roman"/>
                <w:i/>
                <w:iCs/>
              </w:rPr>
              <w:t xml:space="preserve">Staphylococcus </w:t>
            </w:r>
            <w:proofErr w:type="spellStart"/>
            <w:r w:rsidRPr="004305D0">
              <w:rPr>
                <w:rFonts w:ascii="Times New Roman" w:hAnsi="Times New Roman" w:cs="Times New Roman"/>
                <w:i/>
                <w:iCs/>
              </w:rPr>
              <w:t>aureus</w:t>
            </w:r>
            <w:proofErr w:type="spellEnd"/>
          </w:p>
          <w:p w:rsidR="004D1E2A" w:rsidRPr="004305D0" w:rsidRDefault="004D1E2A" w:rsidP="00D97EE9">
            <w:pPr>
              <w:spacing w:line="276" w:lineRule="auto"/>
              <w:ind w:left="179"/>
              <w:jc w:val="both"/>
              <w:rPr>
                <w:rFonts w:ascii="Times New Roman" w:hAnsi="Times New Roman" w:cs="Times New Roman"/>
                <w:i/>
                <w:iCs/>
              </w:rPr>
            </w:pPr>
            <w:r w:rsidRPr="004305D0">
              <w:rPr>
                <w:rFonts w:ascii="Times New Roman" w:hAnsi="Times New Roman" w:cs="Times New Roman"/>
                <w:i/>
                <w:iCs/>
              </w:rPr>
              <w:t>Escherichia coli</w:t>
            </w:r>
          </w:p>
          <w:p w:rsidR="004D1E2A" w:rsidRPr="004305D0" w:rsidRDefault="004D1E2A" w:rsidP="00D97EE9">
            <w:pPr>
              <w:spacing w:line="276" w:lineRule="auto"/>
              <w:ind w:left="179"/>
              <w:jc w:val="both"/>
              <w:rPr>
                <w:rFonts w:ascii="Times New Roman" w:hAnsi="Times New Roman" w:cs="Times New Roman"/>
                <w:i/>
                <w:iCs/>
              </w:rPr>
            </w:pPr>
            <w:r w:rsidRPr="004305D0">
              <w:rPr>
                <w:rFonts w:ascii="Times New Roman" w:hAnsi="Times New Roman" w:cs="Times New Roman"/>
                <w:i/>
                <w:iCs/>
              </w:rPr>
              <w:t xml:space="preserve">Pseudomonas </w:t>
            </w:r>
            <w:proofErr w:type="spellStart"/>
            <w:r w:rsidRPr="004305D0">
              <w:rPr>
                <w:rFonts w:ascii="Times New Roman" w:hAnsi="Times New Roman" w:cs="Times New Roman"/>
                <w:i/>
                <w:iCs/>
              </w:rPr>
              <w:t>aeruginosa</w:t>
            </w:r>
            <w:proofErr w:type="spellEnd"/>
          </w:p>
        </w:tc>
        <w:tc>
          <w:tcPr>
            <w:tcW w:w="161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8</w:t>
            </w:r>
          </w:p>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w:t>
            </w:r>
          </w:p>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w:t>
            </w:r>
          </w:p>
        </w:tc>
        <w:tc>
          <w:tcPr>
            <w:tcW w:w="182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50.0</w:t>
            </w:r>
          </w:p>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18.8</w:t>
            </w:r>
          </w:p>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31.2</w:t>
            </w:r>
          </w:p>
        </w:tc>
      </w:tr>
      <w:bookmarkEnd w:id="1"/>
    </w:tbl>
    <w:p w:rsidR="004D1E2A" w:rsidRPr="004305D0" w:rsidRDefault="004D1E2A" w:rsidP="00D97EE9">
      <w:pPr>
        <w:jc w:val="both"/>
        <w:rPr>
          <w:rFonts w:ascii="Times New Roman" w:hAnsi="Times New Roman" w:cs="Times New Roman"/>
        </w:rPr>
      </w:pPr>
    </w:p>
    <w:p w:rsidR="004D1E2A" w:rsidRPr="004305D0" w:rsidRDefault="004D1E2A" w:rsidP="00D97EE9">
      <w:pPr>
        <w:jc w:val="both"/>
        <w:rPr>
          <w:rFonts w:ascii="Times New Roman" w:hAnsi="Times New Roman" w:cs="Times New Roman"/>
        </w:rPr>
      </w:pPr>
      <w:r w:rsidRPr="004305D0">
        <w:rPr>
          <w:rFonts w:ascii="Times New Roman" w:hAnsi="Times New Roman" w:cs="Times New Roman"/>
        </w:rPr>
        <w:t>Table 1 highlights the bacterial contamination in African salad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samples collected from vendors in Enugu metropolis. Out of 30 samples analyzed, 46.7% exhibited no bacterial growth, indicating relatively hygienic handling practices in these cases. However, 53.3% of the samples were contaminated with bacteria, demonstrating a significant prevalence of microbial contamination. Among the identified bacterial species, Staphylococcus </w:t>
      </w:r>
      <w:proofErr w:type="spellStart"/>
      <w:r w:rsidRPr="004305D0">
        <w:rPr>
          <w:rFonts w:ascii="Times New Roman" w:hAnsi="Times New Roman" w:cs="Times New Roman"/>
        </w:rPr>
        <w:t>aureus</w:t>
      </w:r>
      <w:proofErr w:type="spellEnd"/>
      <w:r w:rsidRPr="004305D0">
        <w:rPr>
          <w:rFonts w:ascii="Times New Roman" w:hAnsi="Times New Roman" w:cs="Times New Roman"/>
        </w:rPr>
        <w:t xml:space="preserve"> was the most frequently isolated, accounting for 50.0% of the </w:t>
      </w:r>
      <w:r w:rsidRPr="004305D0">
        <w:rPr>
          <w:rFonts w:ascii="Times New Roman" w:hAnsi="Times New Roman" w:cs="Times New Roman"/>
        </w:rPr>
        <w:lastRenderedPageBreak/>
        <w:t xml:space="preserve">contaminated samples. Pseudomonas </w:t>
      </w:r>
      <w:proofErr w:type="spellStart"/>
      <w:r w:rsidRPr="004305D0">
        <w:rPr>
          <w:rFonts w:ascii="Times New Roman" w:hAnsi="Times New Roman" w:cs="Times New Roman"/>
        </w:rPr>
        <w:t>aeruginosa</w:t>
      </w:r>
      <w:proofErr w:type="spellEnd"/>
      <w:r w:rsidRPr="004305D0">
        <w:rPr>
          <w:rFonts w:ascii="Times New Roman" w:hAnsi="Times New Roman" w:cs="Times New Roman"/>
        </w:rPr>
        <w:t xml:space="preserve"> followed at 31.2%, while Escherichia coli constituted 18.8%.</w:t>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noProof/>
        </w:rPr>
        <w:drawing>
          <wp:inline distT="0" distB="0" distL="0" distR="0">
            <wp:extent cx="5686425" cy="2667000"/>
            <wp:effectExtent l="0" t="0" r="9525" b="0"/>
            <wp:docPr id="200954161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3A0FD120-E918-8973-FFE1-34DB44B742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D1E2A" w:rsidRPr="004305D0" w:rsidRDefault="004D1E2A" w:rsidP="00D97EE9">
      <w:pPr>
        <w:jc w:val="both"/>
        <w:rPr>
          <w:rFonts w:ascii="Times New Roman" w:hAnsi="Times New Roman" w:cs="Times New Roman"/>
          <w:bCs/>
        </w:rPr>
      </w:pPr>
      <w:r w:rsidRPr="004305D0">
        <w:rPr>
          <w:rFonts w:ascii="Times New Roman" w:hAnsi="Times New Roman" w:cs="Times New Roman"/>
          <w:b/>
        </w:rPr>
        <w:t>Figure 1</w:t>
      </w:r>
      <w:r w:rsidRPr="004305D0">
        <w:rPr>
          <w:rFonts w:ascii="Times New Roman" w:hAnsi="Times New Roman" w:cs="Times New Roman"/>
          <w:bCs/>
        </w:rPr>
        <w:t>: Graphical representation of Isolated and identified bacterial species present in African salad (</w:t>
      </w:r>
      <w:proofErr w:type="spellStart"/>
      <w:r w:rsidRPr="004305D0">
        <w:rPr>
          <w:rFonts w:ascii="Times New Roman" w:hAnsi="Times New Roman" w:cs="Times New Roman"/>
          <w:bCs/>
        </w:rPr>
        <w:t>abacha</w:t>
      </w:r>
      <w:proofErr w:type="spellEnd"/>
      <w:r w:rsidRPr="004305D0">
        <w:rPr>
          <w:rFonts w:ascii="Times New Roman" w:hAnsi="Times New Roman" w:cs="Times New Roman"/>
          <w:bCs/>
        </w:rPr>
        <w:t>) samples collected from vendors in Enugu metropolis</w:t>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rPr>
        <w:t xml:space="preserve"> Table 2: Levels of bacterial contamination of African salad (</w:t>
      </w:r>
      <w:proofErr w:type="spellStart"/>
      <w:r w:rsidRPr="004305D0">
        <w:rPr>
          <w:rFonts w:ascii="Times New Roman" w:hAnsi="Times New Roman" w:cs="Times New Roman"/>
          <w:b/>
        </w:rPr>
        <w:t>abacha</w:t>
      </w:r>
      <w:proofErr w:type="spellEnd"/>
      <w:r w:rsidRPr="004305D0">
        <w:rPr>
          <w:rFonts w:ascii="Times New Roman" w:hAnsi="Times New Roman" w:cs="Times New Roman"/>
          <w:b/>
        </w:rPr>
        <w:t>) sold in different areas of Enugu Metropolis</w:t>
      </w:r>
    </w:p>
    <w:tbl>
      <w:tblPr>
        <w:tblStyle w:val="TableGrid"/>
        <w:tblW w:w="926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5"/>
        <w:gridCol w:w="1697"/>
        <w:gridCol w:w="1820"/>
      </w:tblGrid>
      <w:tr w:rsidR="004D1E2A" w:rsidRPr="004305D0" w:rsidTr="004C788D">
        <w:trPr>
          <w:trHeight w:val="541"/>
          <w:jc w:val="center"/>
        </w:trPr>
        <w:tc>
          <w:tcPr>
            <w:tcW w:w="5745" w:type="dxa"/>
            <w:vMerge w:val="restart"/>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b/>
              </w:rPr>
            </w:pPr>
            <w:r w:rsidRPr="004305D0">
              <w:rPr>
                <w:rFonts w:ascii="Times New Roman" w:hAnsi="Times New Roman" w:cs="Times New Roman"/>
                <w:b/>
              </w:rPr>
              <w:t>Different areas of Enugu Metropolis</w:t>
            </w:r>
          </w:p>
          <w:p w:rsidR="004D1E2A" w:rsidRPr="004305D0" w:rsidRDefault="004D1E2A" w:rsidP="00D97EE9">
            <w:pPr>
              <w:spacing w:line="276" w:lineRule="auto"/>
              <w:jc w:val="both"/>
              <w:rPr>
                <w:rFonts w:ascii="Times New Roman" w:hAnsi="Times New Roman" w:cs="Times New Roman"/>
                <w:b/>
              </w:rPr>
            </w:pPr>
            <w:r w:rsidRPr="004305D0">
              <w:rPr>
                <w:rFonts w:ascii="Times New Roman" w:hAnsi="Times New Roman" w:cs="Times New Roman"/>
                <w:b/>
              </w:rPr>
              <w:t>(n=30)</w:t>
            </w:r>
          </w:p>
          <w:p w:rsidR="004D1E2A" w:rsidRPr="004305D0" w:rsidRDefault="004D1E2A" w:rsidP="00D97EE9">
            <w:pPr>
              <w:spacing w:line="276" w:lineRule="auto"/>
              <w:jc w:val="both"/>
              <w:rPr>
                <w:rFonts w:ascii="Times New Roman" w:hAnsi="Times New Roman" w:cs="Times New Roman"/>
                <w:b/>
                <w:bCs/>
              </w:rPr>
            </w:pPr>
          </w:p>
        </w:tc>
        <w:tc>
          <w:tcPr>
            <w:tcW w:w="3517" w:type="dxa"/>
            <w:gridSpan w:val="2"/>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Prevalence</w:t>
            </w:r>
          </w:p>
        </w:tc>
      </w:tr>
      <w:tr w:rsidR="004D1E2A" w:rsidRPr="004305D0" w:rsidTr="004C788D">
        <w:trPr>
          <w:trHeight w:val="426"/>
          <w:jc w:val="center"/>
        </w:trPr>
        <w:tc>
          <w:tcPr>
            <w:tcW w:w="5745" w:type="dxa"/>
            <w:vMerge/>
            <w:tcBorders>
              <w:top w:val="nil"/>
              <w:bottom w:val="single" w:sz="4" w:space="0" w:color="auto"/>
            </w:tcBorders>
            <w:vAlign w:val="center"/>
          </w:tcPr>
          <w:p w:rsidR="004D1E2A" w:rsidRPr="004305D0" w:rsidRDefault="004D1E2A" w:rsidP="00D97EE9">
            <w:pPr>
              <w:spacing w:line="276" w:lineRule="auto"/>
              <w:jc w:val="both"/>
              <w:rPr>
                <w:rFonts w:ascii="Times New Roman" w:hAnsi="Times New Roman" w:cs="Times New Roman"/>
                <w:b/>
                <w:bCs/>
                <w:kern w:val="2"/>
              </w:rPr>
            </w:pPr>
          </w:p>
        </w:tc>
        <w:tc>
          <w:tcPr>
            <w:tcW w:w="1697" w:type="dxa"/>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rPr>
              <w:t>Bacterial contamination</w:t>
            </w:r>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 (%)</w:t>
            </w:r>
          </w:p>
        </w:tc>
        <w:tc>
          <w:tcPr>
            <w:tcW w:w="1820" w:type="dxa"/>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rPr>
              <w:t>Non-bacterial contamination</w:t>
            </w:r>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 (%)</w:t>
            </w:r>
          </w:p>
        </w:tc>
      </w:tr>
      <w:tr w:rsidR="004D1E2A" w:rsidRPr="004305D0" w:rsidTr="004C788D">
        <w:trPr>
          <w:trHeight w:val="478"/>
          <w:jc w:val="center"/>
        </w:trPr>
        <w:tc>
          <w:tcPr>
            <w:tcW w:w="5745"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Abakpa (n=10)</w:t>
            </w:r>
          </w:p>
        </w:tc>
        <w:tc>
          <w:tcPr>
            <w:tcW w:w="1697"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6 (60.0)</w:t>
            </w:r>
          </w:p>
        </w:tc>
        <w:tc>
          <w:tcPr>
            <w:tcW w:w="1820" w:type="dxa"/>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(40.0)</w:t>
            </w:r>
          </w:p>
        </w:tc>
      </w:tr>
      <w:tr w:rsidR="004D1E2A" w:rsidRPr="004305D0" w:rsidTr="004C788D">
        <w:trPr>
          <w:trHeight w:val="507"/>
          <w:jc w:val="center"/>
        </w:trPr>
        <w:tc>
          <w:tcPr>
            <w:tcW w:w="5745"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Old Park (n=10)</w:t>
            </w:r>
          </w:p>
        </w:tc>
        <w:tc>
          <w:tcPr>
            <w:tcW w:w="1697"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 (50.0)</w:t>
            </w:r>
          </w:p>
        </w:tc>
        <w:tc>
          <w:tcPr>
            <w:tcW w:w="1820"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 (50.0)</w:t>
            </w:r>
          </w:p>
        </w:tc>
      </w:tr>
      <w:tr w:rsidR="004D1E2A" w:rsidRPr="004305D0" w:rsidTr="004C788D">
        <w:trPr>
          <w:trHeight w:val="507"/>
          <w:jc w:val="center"/>
        </w:trPr>
        <w:tc>
          <w:tcPr>
            <w:tcW w:w="5745"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New market (n=10)</w:t>
            </w:r>
          </w:p>
        </w:tc>
        <w:tc>
          <w:tcPr>
            <w:tcW w:w="1697"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 (50.0)</w:t>
            </w:r>
          </w:p>
        </w:tc>
        <w:tc>
          <w:tcPr>
            <w:tcW w:w="1820" w:type="dxa"/>
            <w:tcBorders>
              <w:top w:val="nil"/>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 (50.0)</w:t>
            </w:r>
          </w:p>
        </w:tc>
      </w:tr>
    </w:tbl>
    <w:p w:rsidR="004D1E2A" w:rsidRPr="004305D0" w:rsidRDefault="004D1E2A" w:rsidP="00D97EE9">
      <w:pPr>
        <w:jc w:val="both"/>
        <w:rPr>
          <w:rFonts w:ascii="Times New Roman" w:hAnsi="Times New Roman" w:cs="Times New Roman"/>
          <w:b/>
        </w:rPr>
      </w:pPr>
    </w:p>
    <w:p w:rsidR="004D1E2A" w:rsidRPr="004305D0" w:rsidRDefault="004D1E2A" w:rsidP="00D97EE9">
      <w:pPr>
        <w:jc w:val="both"/>
        <w:rPr>
          <w:rFonts w:ascii="Times New Roman" w:hAnsi="Times New Roman" w:cs="Times New Roman"/>
          <w:bCs/>
        </w:rPr>
      </w:pPr>
      <w:r w:rsidRPr="004305D0">
        <w:rPr>
          <w:rFonts w:ascii="Times New Roman" w:hAnsi="Times New Roman" w:cs="Times New Roman"/>
          <w:bCs/>
        </w:rPr>
        <w:t>Table 2 examines bacterial contamination levels in African salad (</w:t>
      </w:r>
      <w:proofErr w:type="spellStart"/>
      <w:r w:rsidRPr="004305D0">
        <w:rPr>
          <w:rFonts w:ascii="Times New Roman" w:hAnsi="Times New Roman" w:cs="Times New Roman"/>
          <w:bCs/>
        </w:rPr>
        <w:t>abacha</w:t>
      </w:r>
      <w:proofErr w:type="spellEnd"/>
      <w:r w:rsidRPr="004305D0">
        <w:rPr>
          <w:rFonts w:ascii="Times New Roman" w:hAnsi="Times New Roman" w:cs="Times New Roman"/>
          <w:bCs/>
        </w:rPr>
        <w:t>) sold across three areas in Enugu Metropolis: Abakpa, Old Park, and New Market. Among the 30 samples analyzed, bacterial contamination varied by location, with Abakpa showing the highest prevalence at 60.0%, followed by Old Park and New Market, both at 50.0%. Non-bacterial contamination was observed in 40.0% of samples from Abakpa and 50.0% in Old Park and New Market.</w:t>
      </w:r>
    </w:p>
    <w:p w:rsidR="004D1E2A" w:rsidRPr="004305D0" w:rsidRDefault="004D1E2A" w:rsidP="00D97EE9">
      <w:pPr>
        <w:jc w:val="both"/>
        <w:rPr>
          <w:rFonts w:ascii="Times New Roman" w:hAnsi="Times New Roman" w:cs="Times New Roman"/>
          <w:b/>
        </w:rPr>
      </w:pP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noProof/>
        </w:rPr>
        <w:lastRenderedPageBreak/>
        <w:drawing>
          <wp:inline distT="0" distB="0" distL="0" distR="0">
            <wp:extent cx="5981700" cy="3028950"/>
            <wp:effectExtent l="0" t="0" r="0" b="0"/>
            <wp:docPr id="135373003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121959DE-C8CC-D036-E745-3C6A6DCA8E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D1E2A" w:rsidRPr="004305D0" w:rsidRDefault="004D1E2A" w:rsidP="00D97EE9">
      <w:pPr>
        <w:jc w:val="both"/>
        <w:rPr>
          <w:rFonts w:ascii="Times New Roman" w:hAnsi="Times New Roman" w:cs="Times New Roman"/>
          <w:bCs/>
        </w:rPr>
      </w:pPr>
      <w:r w:rsidRPr="004305D0">
        <w:rPr>
          <w:rFonts w:ascii="Times New Roman" w:hAnsi="Times New Roman" w:cs="Times New Roman"/>
          <w:b/>
        </w:rPr>
        <w:t>Figure 2</w:t>
      </w:r>
      <w:r w:rsidRPr="004305D0">
        <w:rPr>
          <w:rFonts w:ascii="Times New Roman" w:hAnsi="Times New Roman" w:cs="Times New Roman"/>
          <w:bCs/>
        </w:rPr>
        <w:t>: Graphical representation of levels of bacterial contamination of African salad (</w:t>
      </w:r>
      <w:proofErr w:type="spellStart"/>
      <w:r w:rsidRPr="004305D0">
        <w:rPr>
          <w:rFonts w:ascii="Times New Roman" w:hAnsi="Times New Roman" w:cs="Times New Roman"/>
          <w:bCs/>
        </w:rPr>
        <w:t>abacha</w:t>
      </w:r>
      <w:proofErr w:type="spellEnd"/>
      <w:r w:rsidRPr="004305D0">
        <w:rPr>
          <w:rFonts w:ascii="Times New Roman" w:hAnsi="Times New Roman" w:cs="Times New Roman"/>
          <w:bCs/>
        </w:rPr>
        <w:t>) sold in different areas of Enugu Metropolis</w:t>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rPr>
        <w:t xml:space="preserve">4.3 Table 3: </w:t>
      </w:r>
      <w:r w:rsidRPr="004305D0">
        <w:rPr>
          <w:rFonts w:ascii="Times New Roman" w:hAnsi="Times New Roman" w:cs="Times New Roman"/>
          <w:b/>
          <w:bCs/>
        </w:rPr>
        <w:t xml:space="preserve">Antibiotic </w:t>
      </w:r>
      <w:proofErr w:type="spellStart"/>
      <w:r w:rsidRPr="004305D0">
        <w:rPr>
          <w:rFonts w:ascii="Times New Roman" w:hAnsi="Times New Roman" w:cs="Times New Roman"/>
          <w:b/>
          <w:bCs/>
        </w:rPr>
        <w:t>sensitivity</w:t>
      </w:r>
      <w:r w:rsidRPr="004305D0">
        <w:rPr>
          <w:rFonts w:ascii="Times New Roman" w:hAnsi="Times New Roman" w:cs="Times New Roman"/>
          <w:b/>
        </w:rPr>
        <w:t>of</w:t>
      </w:r>
      <w:proofErr w:type="spellEnd"/>
      <w:r w:rsidRPr="004305D0">
        <w:rPr>
          <w:rFonts w:ascii="Times New Roman" w:hAnsi="Times New Roman" w:cs="Times New Roman"/>
          <w:b/>
        </w:rPr>
        <w:t xml:space="preserve"> various bacteria isolates in African salad (</w:t>
      </w:r>
      <w:proofErr w:type="spellStart"/>
      <w:r w:rsidRPr="004305D0">
        <w:rPr>
          <w:rFonts w:ascii="Times New Roman" w:hAnsi="Times New Roman" w:cs="Times New Roman"/>
          <w:b/>
        </w:rPr>
        <w:t>abacha</w:t>
      </w:r>
      <w:proofErr w:type="spellEnd"/>
      <w:r w:rsidRPr="004305D0">
        <w:rPr>
          <w:rFonts w:ascii="Times New Roman" w:hAnsi="Times New Roman" w:cs="Times New Roman"/>
          <w:b/>
        </w:rPr>
        <w:t>) sold in Enugu Metropolis</w:t>
      </w:r>
    </w:p>
    <w:tbl>
      <w:tblPr>
        <w:tblStyle w:val="TableGrid"/>
        <w:tblpPr w:leftFromText="180" w:rightFromText="180" w:vertAnchor="text" w:horzAnchor="margin" w:tblpY="4"/>
        <w:tblW w:w="940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5"/>
        <w:gridCol w:w="1012"/>
        <w:gridCol w:w="1158"/>
        <w:gridCol w:w="1157"/>
        <w:gridCol w:w="1158"/>
        <w:gridCol w:w="1157"/>
        <w:gridCol w:w="1309"/>
      </w:tblGrid>
      <w:tr w:rsidR="004D1E2A" w:rsidRPr="004305D0" w:rsidTr="004C788D">
        <w:trPr>
          <w:trHeight w:val="455"/>
        </w:trPr>
        <w:tc>
          <w:tcPr>
            <w:tcW w:w="2455" w:type="dxa"/>
            <w:vMerge w:val="restart"/>
            <w:tcBorders>
              <w:top w:val="single" w:sz="4" w:space="0" w:color="auto"/>
              <w:bottom w:val="nil"/>
            </w:tcBorders>
          </w:tcPr>
          <w:p w:rsidR="004D1E2A" w:rsidRPr="004305D0" w:rsidRDefault="004D1E2A" w:rsidP="00D97EE9">
            <w:pPr>
              <w:spacing w:line="276" w:lineRule="auto"/>
              <w:jc w:val="both"/>
              <w:rPr>
                <w:rFonts w:ascii="Times New Roman" w:hAnsi="Times New Roman" w:cs="Times New Roman"/>
                <w:b/>
                <w:bCs/>
              </w:rPr>
            </w:pPr>
            <w:bookmarkStart w:id="2" w:name="_Hlk179938849"/>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Antibiotics</w:t>
            </w:r>
            <w:r w:rsidRPr="004305D0">
              <w:rPr>
                <w:rFonts w:ascii="Times New Roman" w:hAnsi="Times New Roman" w:cs="Times New Roman"/>
              </w:rPr>
              <w:tab/>
            </w:r>
          </w:p>
        </w:tc>
        <w:tc>
          <w:tcPr>
            <w:tcW w:w="2170" w:type="dxa"/>
            <w:gridSpan w:val="2"/>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i/>
                <w:iCs/>
              </w:rPr>
            </w:pPr>
            <w:r w:rsidRPr="004305D0">
              <w:rPr>
                <w:rFonts w:ascii="Times New Roman" w:hAnsi="Times New Roman" w:cs="Times New Roman"/>
                <w:b/>
                <w:bCs/>
                <w:i/>
                <w:iCs/>
              </w:rPr>
              <w:t xml:space="preserve">S. </w:t>
            </w:r>
            <w:proofErr w:type="spellStart"/>
            <w:r w:rsidRPr="004305D0">
              <w:rPr>
                <w:rFonts w:ascii="Times New Roman" w:hAnsi="Times New Roman" w:cs="Times New Roman"/>
                <w:b/>
                <w:bCs/>
                <w:i/>
                <w:iCs/>
              </w:rPr>
              <w:t>aureus</w:t>
            </w:r>
            <w:proofErr w:type="spellEnd"/>
            <w:r w:rsidRPr="004305D0">
              <w:rPr>
                <w:rFonts w:ascii="Times New Roman" w:hAnsi="Times New Roman" w:cs="Times New Roman"/>
                <w:b/>
                <w:bCs/>
                <w:i/>
                <w:iCs/>
              </w:rPr>
              <w:t xml:space="preserve"> </w:t>
            </w:r>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(n=8)</w:t>
            </w:r>
          </w:p>
        </w:tc>
        <w:tc>
          <w:tcPr>
            <w:tcW w:w="2315" w:type="dxa"/>
            <w:gridSpan w:val="2"/>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i/>
                <w:iCs/>
              </w:rPr>
            </w:pPr>
            <w:r w:rsidRPr="004305D0">
              <w:rPr>
                <w:rFonts w:ascii="Times New Roman" w:hAnsi="Times New Roman" w:cs="Times New Roman"/>
                <w:b/>
                <w:bCs/>
                <w:i/>
                <w:iCs/>
              </w:rPr>
              <w:t xml:space="preserve">E. coli </w:t>
            </w:r>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(n=3)</w:t>
            </w:r>
          </w:p>
        </w:tc>
        <w:tc>
          <w:tcPr>
            <w:tcW w:w="2466" w:type="dxa"/>
            <w:gridSpan w:val="2"/>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i/>
                <w:iCs/>
              </w:rPr>
            </w:pPr>
            <w:r w:rsidRPr="004305D0">
              <w:rPr>
                <w:rFonts w:ascii="Times New Roman" w:hAnsi="Times New Roman" w:cs="Times New Roman"/>
                <w:b/>
                <w:bCs/>
                <w:i/>
                <w:iCs/>
              </w:rPr>
              <w:t xml:space="preserve">P.  </w:t>
            </w:r>
            <w:proofErr w:type="spellStart"/>
            <w:r w:rsidRPr="004305D0">
              <w:rPr>
                <w:rFonts w:ascii="Times New Roman" w:hAnsi="Times New Roman" w:cs="Times New Roman"/>
                <w:b/>
                <w:bCs/>
                <w:i/>
                <w:iCs/>
              </w:rPr>
              <w:t>aeruginosa</w:t>
            </w:r>
            <w:proofErr w:type="spellEnd"/>
            <w:r w:rsidRPr="004305D0">
              <w:rPr>
                <w:rFonts w:ascii="Times New Roman" w:hAnsi="Times New Roman" w:cs="Times New Roman"/>
                <w:b/>
                <w:bCs/>
                <w:i/>
                <w:iCs/>
              </w:rPr>
              <w:t xml:space="preserve"> </w:t>
            </w:r>
          </w:p>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(n=5)</w:t>
            </w:r>
          </w:p>
        </w:tc>
      </w:tr>
      <w:tr w:rsidR="004D1E2A" w:rsidRPr="004305D0" w:rsidTr="004C788D">
        <w:trPr>
          <w:trHeight w:val="655"/>
        </w:trPr>
        <w:tc>
          <w:tcPr>
            <w:tcW w:w="2455" w:type="dxa"/>
            <w:vMerge/>
            <w:tcBorders>
              <w:top w:val="nil"/>
              <w:bottom w:val="single" w:sz="4" w:space="0" w:color="auto"/>
            </w:tcBorders>
            <w:vAlign w:val="center"/>
            <w:hideMark/>
          </w:tcPr>
          <w:p w:rsidR="004D1E2A" w:rsidRPr="004305D0" w:rsidRDefault="004D1E2A" w:rsidP="00D97EE9">
            <w:pPr>
              <w:spacing w:line="276" w:lineRule="auto"/>
              <w:jc w:val="both"/>
              <w:rPr>
                <w:rFonts w:ascii="Times New Roman" w:hAnsi="Times New Roman" w:cs="Times New Roman"/>
                <w:b/>
                <w:bCs/>
                <w:kern w:val="2"/>
              </w:rPr>
            </w:pPr>
          </w:p>
        </w:tc>
        <w:tc>
          <w:tcPr>
            <w:tcW w:w="1012" w:type="dxa"/>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S</w:t>
            </w:r>
          </w:p>
        </w:tc>
        <w:tc>
          <w:tcPr>
            <w:tcW w:w="1157" w:type="dxa"/>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R</w:t>
            </w:r>
          </w:p>
        </w:tc>
        <w:tc>
          <w:tcPr>
            <w:tcW w:w="1157" w:type="dxa"/>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S</w:t>
            </w:r>
          </w:p>
        </w:tc>
        <w:tc>
          <w:tcPr>
            <w:tcW w:w="1157" w:type="dxa"/>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R</w:t>
            </w:r>
          </w:p>
        </w:tc>
        <w:tc>
          <w:tcPr>
            <w:tcW w:w="1157" w:type="dxa"/>
            <w:tcBorders>
              <w:top w:val="single" w:sz="4" w:space="0" w:color="auto"/>
              <w:bottom w:val="single" w:sz="4" w:space="0" w:color="auto"/>
            </w:tcBorders>
            <w:hideMark/>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S</w:t>
            </w:r>
          </w:p>
        </w:tc>
        <w:tc>
          <w:tcPr>
            <w:tcW w:w="1308" w:type="dxa"/>
            <w:tcBorders>
              <w:top w:val="single" w:sz="4" w:space="0" w:color="auto"/>
              <w:bottom w:val="single" w:sz="4" w:space="0" w:color="auto"/>
            </w:tcBorders>
          </w:tcPr>
          <w:p w:rsidR="004D1E2A" w:rsidRPr="004305D0" w:rsidRDefault="004D1E2A" w:rsidP="00D97EE9">
            <w:pPr>
              <w:spacing w:line="276" w:lineRule="auto"/>
              <w:jc w:val="both"/>
              <w:rPr>
                <w:rFonts w:ascii="Times New Roman" w:hAnsi="Times New Roman" w:cs="Times New Roman"/>
                <w:b/>
                <w:bCs/>
              </w:rPr>
            </w:pPr>
            <w:r w:rsidRPr="004305D0">
              <w:rPr>
                <w:rFonts w:ascii="Times New Roman" w:hAnsi="Times New Roman" w:cs="Times New Roman"/>
                <w:b/>
                <w:bCs/>
              </w:rPr>
              <w:t>R</w:t>
            </w:r>
          </w:p>
        </w:tc>
      </w:tr>
      <w:tr w:rsidR="004D1E2A" w:rsidRPr="004305D0" w:rsidTr="004C788D">
        <w:trPr>
          <w:trHeight w:val="296"/>
        </w:trPr>
        <w:tc>
          <w:tcPr>
            <w:tcW w:w="2455"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Gentamicin</w:t>
            </w:r>
          </w:p>
        </w:tc>
        <w:tc>
          <w:tcPr>
            <w:tcW w:w="1012"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7 (87.5)</w:t>
            </w:r>
          </w:p>
        </w:tc>
        <w:tc>
          <w:tcPr>
            <w:tcW w:w="1157"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(12.5)</w:t>
            </w:r>
          </w:p>
        </w:tc>
        <w:tc>
          <w:tcPr>
            <w:tcW w:w="1157"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(100.0)</w:t>
            </w:r>
          </w:p>
        </w:tc>
        <w:tc>
          <w:tcPr>
            <w:tcW w:w="1157"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0 (0.0)</w:t>
            </w:r>
          </w:p>
        </w:tc>
        <w:tc>
          <w:tcPr>
            <w:tcW w:w="1157"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3(60.0)</w:t>
            </w:r>
          </w:p>
        </w:tc>
        <w:tc>
          <w:tcPr>
            <w:tcW w:w="1308" w:type="dxa"/>
            <w:tcBorders>
              <w:top w:val="single" w:sz="4" w:space="0" w:color="auto"/>
            </w:tcBorders>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(40.0)</w:t>
            </w:r>
          </w:p>
        </w:tc>
      </w:tr>
      <w:tr w:rsidR="004D1E2A" w:rsidRPr="004305D0" w:rsidTr="004C788D">
        <w:trPr>
          <w:trHeight w:val="296"/>
        </w:trPr>
        <w:tc>
          <w:tcPr>
            <w:tcW w:w="2455" w:type="dxa"/>
          </w:tcPr>
          <w:p w:rsidR="004D1E2A" w:rsidRPr="004305D0" w:rsidRDefault="004D1E2A" w:rsidP="00D97EE9">
            <w:pPr>
              <w:spacing w:line="276" w:lineRule="auto"/>
              <w:jc w:val="both"/>
              <w:rPr>
                <w:rFonts w:ascii="Times New Roman" w:hAnsi="Times New Roman" w:cs="Times New Roman"/>
              </w:rPr>
            </w:pPr>
            <w:proofErr w:type="spellStart"/>
            <w:r w:rsidRPr="004305D0">
              <w:rPr>
                <w:rFonts w:ascii="Times New Roman" w:hAnsi="Times New Roman" w:cs="Times New Roman"/>
              </w:rPr>
              <w:t>Cloxacillin</w:t>
            </w:r>
            <w:proofErr w:type="spellEnd"/>
          </w:p>
        </w:tc>
        <w:tc>
          <w:tcPr>
            <w:tcW w:w="101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(50.0)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(50.0)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(33.3)</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(66.7)</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(40.0)</w:t>
            </w:r>
          </w:p>
        </w:tc>
        <w:tc>
          <w:tcPr>
            <w:tcW w:w="130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(60.0)</w:t>
            </w:r>
          </w:p>
        </w:tc>
      </w:tr>
      <w:tr w:rsidR="004D1E2A" w:rsidRPr="004305D0" w:rsidTr="004C788D">
        <w:trPr>
          <w:trHeight w:val="296"/>
        </w:trPr>
        <w:tc>
          <w:tcPr>
            <w:tcW w:w="2455"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Ceftriaxone</w:t>
            </w:r>
          </w:p>
        </w:tc>
        <w:tc>
          <w:tcPr>
            <w:tcW w:w="101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(25.0)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6 (75.0)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(33.3)</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(66.7)</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(20.0)</w:t>
            </w:r>
          </w:p>
        </w:tc>
        <w:tc>
          <w:tcPr>
            <w:tcW w:w="130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(80.0)</w:t>
            </w:r>
          </w:p>
        </w:tc>
      </w:tr>
      <w:tr w:rsidR="004D1E2A" w:rsidRPr="004305D0" w:rsidTr="004C788D">
        <w:trPr>
          <w:trHeight w:val="296"/>
        </w:trPr>
        <w:tc>
          <w:tcPr>
            <w:tcW w:w="2455"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Ciprofloxacin</w:t>
            </w:r>
          </w:p>
        </w:tc>
        <w:tc>
          <w:tcPr>
            <w:tcW w:w="101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6 (75.0)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(25.0)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(100.0)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0 (0.0)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(80.0)</w:t>
            </w:r>
          </w:p>
        </w:tc>
        <w:tc>
          <w:tcPr>
            <w:tcW w:w="130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(20.0)</w:t>
            </w:r>
          </w:p>
        </w:tc>
      </w:tr>
      <w:tr w:rsidR="004D1E2A" w:rsidRPr="004305D0" w:rsidTr="004C788D">
        <w:trPr>
          <w:trHeight w:val="296"/>
        </w:trPr>
        <w:tc>
          <w:tcPr>
            <w:tcW w:w="2455"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Ampicillin</w:t>
            </w:r>
          </w:p>
        </w:tc>
        <w:tc>
          <w:tcPr>
            <w:tcW w:w="101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(37.5)</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5 (62.5)</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0 (0.0)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(100.0)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(40.0)</w:t>
            </w:r>
          </w:p>
        </w:tc>
        <w:tc>
          <w:tcPr>
            <w:tcW w:w="130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3 (60.0)</w:t>
            </w:r>
          </w:p>
        </w:tc>
      </w:tr>
      <w:tr w:rsidR="004D1E2A" w:rsidRPr="004305D0" w:rsidTr="004C788D">
        <w:trPr>
          <w:trHeight w:val="296"/>
        </w:trPr>
        <w:tc>
          <w:tcPr>
            <w:tcW w:w="2455"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Tetracycline</w:t>
            </w:r>
          </w:p>
        </w:tc>
        <w:tc>
          <w:tcPr>
            <w:tcW w:w="1012"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(25.0)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6 (75.0)</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(33.3)</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2 (66.7)</w:t>
            </w:r>
          </w:p>
        </w:tc>
        <w:tc>
          <w:tcPr>
            <w:tcW w:w="1157"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1 (20.0)</w:t>
            </w:r>
          </w:p>
        </w:tc>
        <w:tc>
          <w:tcPr>
            <w:tcW w:w="1308" w:type="dxa"/>
          </w:tcPr>
          <w:p w:rsidR="004D1E2A" w:rsidRPr="004305D0" w:rsidRDefault="004D1E2A" w:rsidP="00D97EE9">
            <w:pPr>
              <w:spacing w:line="276" w:lineRule="auto"/>
              <w:jc w:val="both"/>
              <w:rPr>
                <w:rFonts w:ascii="Times New Roman" w:hAnsi="Times New Roman" w:cs="Times New Roman"/>
              </w:rPr>
            </w:pPr>
            <w:r w:rsidRPr="004305D0">
              <w:rPr>
                <w:rFonts w:ascii="Times New Roman" w:hAnsi="Times New Roman" w:cs="Times New Roman"/>
              </w:rPr>
              <w:t>4 (80.0)</w:t>
            </w:r>
          </w:p>
        </w:tc>
      </w:tr>
    </w:tbl>
    <w:bookmarkEnd w:id="2"/>
    <w:p w:rsidR="004D1E2A" w:rsidRPr="004305D0" w:rsidRDefault="004D1E2A" w:rsidP="00D97EE9">
      <w:pPr>
        <w:jc w:val="both"/>
        <w:rPr>
          <w:rFonts w:ascii="Times New Roman" w:hAnsi="Times New Roman" w:cs="Times New Roman"/>
          <w:i/>
          <w:iCs/>
        </w:rPr>
      </w:pPr>
      <w:r w:rsidRPr="004305D0">
        <w:rPr>
          <w:rFonts w:ascii="Times New Roman" w:hAnsi="Times New Roman" w:cs="Times New Roman"/>
        </w:rPr>
        <w:tab/>
      </w:r>
      <w:r w:rsidRPr="004305D0">
        <w:rPr>
          <w:rFonts w:ascii="Times New Roman" w:hAnsi="Times New Roman" w:cs="Times New Roman"/>
          <w:i/>
          <w:iCs/>
        </w:rPr>
        <w:t>S – Sensitivity; R - Resistance</w:t>
      </w:r>
    </w:p>
    <w:p w:rsidR="004D1E2A" w:rsidRPr="004305D0" w:rsidRDefault="004D1E2A" w:rsidP="00D97EE9">
      <w:pPr>
        <w:jc w:val="both"/>
        <w:rPr>
          <w:rFonts w:ascii="Times New Roman" w:hAnsi="Times New Roman" w:cs="Times New Roman"/>
        </w:rPr>
      </w:pPr>
    </w:p>
    <w:p w:rsidR="004D1E2A" w:rsidRPr="004305D0" w:rsidRDefault="004D1E2A" w:rsidP="00D97EE9">
      <w:pPr>
        <w:jc w:val="both"/>
        <w:rPr>
          <w:rFonts w:ascii="Times New Roman" w:hAnsi="Times New Roman" w:cs="Times New Roman"/>
        </w:rPr>
      </w:pPr>
      <w:r w:rsidRPr="004305D0">
        <w:rPr>
          <w:rFonts w:ascii="Times New Roman" w:hAnsi="Times New Roman" w:cs="Times New Roman"/>
        </w:rPr>
        <w:t>Table 3 provides an analysis of the antibiotic sensitivity and resistance patterns of bacterial isolates (</w:t>
      </w:r>
      <w:r w:rsidRPr="004305D0">
        <w:rPr>
          <w:rFonts w:ascii="Times New Roman" w:hAnsi="Times New Roman" w:cs="Times New Roman"/>
          <w:i/>
          <w:iCs/>
        </w:rPr>
        <w:t xml:space="preserve">Staphylococcus </w:t>
      </w:r>
      <w:proofErr w:type="spellStart"/>
      <w:r w:rsidRPr="004305D0">
        <w:rPr>
          <w:rFonts w:ascii="Times New Roman" w:hAnsi="Times New Roman" w:cs="Times New Roman"/>
          <w:i/>
          <w:iCs/>
        </w:rPr>
        <w:t>aureus</w:t>
      </w:r>
      <w:proofErr w:type="spellEnd"/>
      <w:r w:rsidRPr="004305D0">
        <w:rPr>
          <w:rFonts w:ascii="Times New Roman" w:hAnsi="Times New Roman" w:cs="Times New Roman"/>
          <w:i/>
          <w:iCs/>
        </w:rPr>
        <w:t xml:space="preserve">, Escherichia coli, </w:t>
      </w:r>
      <w:r w:rsidRPr="004305D0">
        <w:rPr>
          <w:rFonts w:ascii="Times New Roman" w:hAnsi="Times New Roman" w:cs="Times New Roman"/>
        </w:rPr>
        <w:t>and</w:t>
      </w:r>
      <w:r w:rsidRPr="004305D0">
        <w:rPr>
          <w:rFonts w:ascii="Times New Roman" w:hAnsi="Times New Roman" w:cs="Times New Roman"/>
          <w:i/>
          <w:iCs/>
        </w:rPr>
        <w:t xml:space="preserve"> Pseudomonas </w:t>
      </w:r>
      <w:proofErr w:type="spellStart"/>
      <w:r w:rsidRPr="004305D0">
        <w:rPr>
          <w:rFonts w:ascii="Times New Roman" w:hAnsi="Times New Roman" w:cs="Times New Roman"/>
          <w:i/>
          <w:iCs/>
        </w:rPr>
        <w:t>aeruginosa</w:t>
      </w:r>
      <w:proofErr w:type="spellEnd"/>
      <w:r w:rsidRPr="004305D0">
        <w:rPr>
          <w:rFonts w:ascii="Times New Roman" w:hAnsi="Times New Roman" w:cs="Times New Roman"/>
        </w:rPr>
        <w:t>) found in African salad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sold in Enugu Metropolis. Among the antibiotics tested, Staphylococcus </w:t>
      </w:r>
      <w:proofErr w:type="spellStart"/>
      <w:r w:rsidRPr="004305D0">
        <w:rPr>
          <w:rFonts w:ascii="Times New Roman" w:hAnsi="Times New Roman" w:cs="Times New Roman"/>
        </w:rPr>
        <w:t>aureus</w:t>
      </w:r>
      <w:proofErr w:type="spellEnd"/>
      <w:r w:rsidRPr="004305D0">
        <w:rPr>
          <w:rFonts w:ascii="Times New Roman" w:hAnsi="Times New Roman" w:cs="Times New Roman"/>
        </w:rPr>
        <w:t xml:space="preserve"> demonstrated the highest sensitivity to Gentamicin at 87.5%, followed by Ciprofloxacin at 75.0%, indicating these antibiotics as highly effective against this bacterium. Moderate sensitivity was observed for </w:t>
      </w:r>
      <w:proofErr w:type="spellStart"/>
      <w:r w:rsidRPr="004305D0">
        <w:rPr>
          <w:rFonts w:ascii="Times New Roman" w:hAnsi="Times New Roman" w:cs="Times New Roman"/>
        </w:rPr>
        <w:t>Cloxacillin</w:t>
      </w:r>
      <w:proofErr w:type="spellEnd"/>
      <w:r w:rsidRPr="004305D0">
        <w:rPr>
          <w:rFonts w:ascii="Times New Roman" w:hAnsi="Times New Roman" w:cs="Times New Roman"/>
        </w:rPr>
        <w:t xml:space="preserve"> (50.0%) and Ampicillin (37.5%). However, significant resistance was noted against Ceftriaxone and Tetracycline, with both showing a resistance rate of 75.0%, suggesting these antibiotics are less effective in treating infections caused by S. </w:t>
      </w:r>
      <w:proofErr w:type="spellStart"/>
      <w:r w:rsidRPr="004305D0">
        <w:rPr>
          <w:rFonts w:ascii="Times New Roman" w:hAnsi="Times New Roman" w:cs="Times New Roman"/>
        </w:rPr>
        <w:t>aureus</w:t>
      </w:r>
      <w:proofErr w:type="spellEnd"/>
      <w:r w:rsidRPr="004305D0">
        <w:rPr>
          <w:rFonts w:ascii="Times New Roman" w:hAnsi="Times New Roman" w:cs="Times New Roman"/>
        </w:rPr>
        <w:t>.</w:t>
      </w:r>
    </w:p>
    <w:p w:rsidR="004D1E2A" w:rsidRPr="004305D0" w:rsidRDefault="004D1E2A" w:rsidP="00D97EE9">
      <w:pPr>
        <w:jc w:val="both"/>
        <w:rPr>
          <w:rFonts w:ascii="Times New Roman" w:hAnsi="Times New Roman" w:cs="Times New Roman"/>
        </w:rPr>
      </w:pPr>
      <w:r w:rsidRPr="004305D0">
        <w:rPr>
          <w:rFonts w:ascii="Times New Roman" w:hAnsi="Times New Roman" w:cs="Times New Roman"/>
        </w:rPr>
        <w:lastRenderedPageBreak/>
        <w:t xml:space="preserve">For Escherichia coli, Gentamicin and Ciprofloxacin showed complete sensitivity (100.0%), making them the most reliable treatment options. Conversely, E. coli exhibited substantial resistance to </w:t>
      </w:r>
      <w:proofErr w:type="spellStart"/>
      <w:r w:rsidRPr="004305D0">
        <w:rPr>
          <w:rFonts w:ascii="Times New Roman" w:hAnsi="Times New Roman" w:cs="Times New Roman"/>
        </w:rPr>
        <w:t>Cloxacillin</w:t>
      </w:r>
      <w:proofErr w:type="spellEnd"/>
      <w:r w:rsidRPr="004305D0">
        <w:rPr>
          <w:rFonts w:ascii="Times New Roman" w:hAnsi="Times New Roman" w:cs="Times New Roman"/>
        </w:rPr>
        <w:t xml:space="preserve"> and Ceftriaxone, each with resistance rates of 66.7%. Ampicillin showed complete resistance (100.0%), rendering it ineffective against E. coli. Tetracycline had a resistance rate of 66.7%, further limiting its utility in treating infections caused by this bacterium.</w:t>
      </w:r>
    </w:p>
    <w:p w:rsidR="004D1E2A" w:rsidRPr="004305D0" w:rsidRDefault="004D1E2A" w:rsidP="00D97EE9">
      <w:pPr>
        <w:jc w:val="both"/>
        <w:rPr>
          <w:rFonts w:ascii="Times New Roman" w:hAnsi="Times New Roman" w:cs="Times New Roman"/>
        </w:rPr>
      </w:pPr>
      <w:r w:rsidRPr="004305D0">
        <w:rPr>
          <w:rFonts w:ascii="Times New Roman" w:hAnsi="Times New Roman" w:cs="Times New Roman"/>
        </w:rPr>
        <w:t xml:space="preserve">Pseudomonas </w:t>
      </w:r>
      <w:proofErr w:type="spellStart"/>
      <w:r w:rsidRPr="004305D0">
        <w:rPr>
          <w:rFonts w:ascii="Times New Roman" w:hAnsi="Times New Roman" w:cs="Times New Roman"/>
        </w:rPr>
        <w:t>aeruginosa</w:t>
      </w:r>
      <w:proofErr w:type="spellEnd"/>
      <w:r w:rsidRPr="004305D0">
        <w:rPr>
          <w:rFonts w:ascii="Times New Roman" w:hAnsi="Times New Roman" w:cs="Times New Roman"/>
        </w:rPr>
        <w:t xml:space="preserve"> exhibited moderate sensitivity to Gentamicin (60.0%) and higher sensitivity to Ciprofloxacin (80.0%), indicating these antibiotics as promising choices for treatment. However, the bacterium demonstrated high resistance to Ceftriaxone and Tetracycline, each at 80.0%, as well as substantial resistance to </w:t>
      </w:r>
      <w:proofErr w:type="spellStart"/>
      <w:r w:rsidRPr="004305D0">
        <w:rPr>
          <w:rFonts w:ascii="Times New Roman" w:hAnsi="Times New Roman" w:cs="Times New Roman"/>
        </w:rPr>
        <w:t>Cloxacillin</w:t>
      </w:r>
      <w:proofErr w:type="spellEnd"/>
      <w:r w:rsidRPr="004305D0">
        <w:rPr>
          <w:rFonts w:ascii="Times New Roman" w:hAnsi="Times New Roman" w:cs="Times New Roman"/>
        </w:rPr>
        <w:t xml:space="preserve"> and Ampicillin, both at 60.0%. </w:t>
      </w:r>
    </w:p>
    <w:p w:rsidR="004D1E2A" w:rsidRPr="004305D0" w:rsidRDefault="004D1E2A" w:rsidP="00D97EE9">
      <w:pPr>
        <w:jc w:val="both"/>
        <w:rPr>
          <w:rFonts w:ascii="Times New Roman" w:hAnsi="Times New Roman" w:cs="Times New Roman"/>
        </w:rPr>
      </w:pPr>
    </w:p>
    <w:p w:rsidR="004D1E2A" w:rsidRPr="004305D0" w:rsidRDefault="004D1E2A" w:rsidP="00D97EE9">
      <w:pPr>
        <w:jc w:val="both"/>
        <w:rPr>
          <w:rFonts w:ascii="Times New Roman" w:hAnsi="Times New Roman" w:cs="Times New Roman"/>
        </w:rPr>
      </w:pPr>
      <w:r w:rsidRPr="004305D0">
        <w:rPr>
          <w:rFonts w:ascii="Times New Roman" w:hAnsi="Times New Roman" w:cs="Times New Roman"/>
          <w:noProof/>
        </w:rPr>
        <w:drawing>
          <wp:inline distT="0" distB="0" distL="0" distR="0">
            <wp:extent cx="5724525" cy="2628900"/>
            <wp:effectExtent l="0" t="0" r="9525" b="0"/>
            <wp:docPr id="126260010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34AC515A-355A-914E-9834-AA5C585549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bCs/>
        </w:rPr>
        <w:t xml:space="preserve">Figure 3: </w:t>
      </w:r>
      <w:r w:rsidRPr="004305D0">
        <w:rPr>
          <w:rFonts w:ascii="Times New Roman" w:hAnsi="Times New Roman" w:cs="Times New Roman"/>
        </w:rPr>
        <w:t xml:space="preserve">Graphical representation of Antibiotic sensitivity of </w:t>
      </w:r>
      <w:r w:rsidRPr="004305D0">
        <w:rPr>
          <w:rFonts w:ascii="Times New Roman" w:hAnsi="Times New Roman" w:cs="Times New Roman"/>
          <w:i/>
          <w:iCs/>
        </w:rPr>
        <w:t xml:space="preserve">Staphylococcus </w:t>
      </w:r>
      <w:proofErr w:type="spellStart"/>
      <w:r w:rsidRPr="004305D0">
        <w:rPr>
          <w:rFonts w:ascii="Times New Roman" w:hAnsi="Times New Roman" w:cs="Times New Roman"/>
          <w:i/>
          <w:iCs/>
        </w:rPr>
        <w:t>aureus</w:t>
      </w:r>
      <w:proofErr w:type="spellEnd"/>
      <w:r w:rsidRPr="004305D0">
        <w:rPr>
          <w:rFonts w:ascii="Times New Roman" w:hAnsi="Times New Roman" w:cs="Times New Roman"/>
        </w:rPr>
        <w:t xml:space="preserve"> in African salad (</w:t>
      </w:r>
      <w:proofErr w:type="spellStart"/>
      <w:r w:rsidRPr="004305D0">
        <w:rPr>
          <w:rFonts w:ascii="Times New Roman" w:hAnsi="Times New Roman" w:cs="Times New Roman"/>
        </w:rPr>
        <w:t>abacha</w:t>
      </w:r>
      <w:proofErr w:type="spellEnd"/>
      <w:r w:rsidRPr="004305D0">
        <w:rPr>
          <w:rFonts w:ascii="Times New Roman" w:hAnsi="Times New Roman" w:cs="Times New Roman"/>
        </w:rPr>
        <w:t>) sold in Enugu Metropolis</w:t>
      </w:r>
    </w:p>
    <w:p w:rsidR="004D1E2A" w:rsidRPr="004305D0" w:rsidRDefault="004D1E2A" w:rsidP="00D97EE9">
      <w:pPr>
        <w:jc w:val="both"/>
        <w:rPr>
          <w:rFonts w:ascii="Times New Roman" w:hAnsi="Times New Roman" w:cs="Times New Roman"/>
        </w:rPr>
      </w:pPr>
    </w:p>
    <w:p w:rsidR="004D1E2A" w:rsidRPr="004305D0" w:rsidRDefault="004D1E2A" w:rsidP="00D97EE9">
      <w:pPr>
        <w:jc w:val="both"/>
        <w:rPr>
          <w:rFonts w:ascii="Times New Roman" w:hAnsi="Times New Roman" w:cs="Times New Roman"/>
        </w:rPr>
      </w:pPr>
      <w:r w:rsidRPr="004305D0">
        <w:rPr>
          <w:rFonts w:ascii="Times New Roman" w:hAnsi="Times New Roman" w:cs="Times New Roman"/>
          <w:noProof/>
        </w:rPr>
        <w:lastRenderedPageBreak/>
        <w:drawing>
          <wp:inline distT="0" distB="0" distL="0" distR="0">
            <wp:extent cx="5715000" cy="2667000"/>
            <wp:effectExtent l="0" t="0" r="0" b="0"/>
            <wp:docPr id="155349772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83BE9C91-CDD3-8E73-2901-828A710F9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bCs/>
        </w:rPr>
        <w:t xml:space="preserve"> 4.4 Figure 4: </w:t>
      </w:r>
      <w:r w:rsidRPr="004305D0">
        <w:rPr>
          <w:rFonts w:ascii="Times New Roman" w:hAnsi="Times New Roman" w:cs="Times New Roman"/>
        </w:rPr>
        <w:t xml:space="preserve">Graphical representation of Antibiotic sensitivity of </w:t>
      </w:r>
      <w:r w:rsidRPr="004305D0">
        <w:rPr>
          <w:rFonts w:ascii="Times New Roman" w:hAnsi="Times New Roman" w:cs="Times New Roman"/>
          <w:i/>
          <w:iCs/>
        </w:rPr>
        <w:t>Escherichia coli</w:t>
      </w:r>
      <w:r w:rsidRPr="004305D0">
        <w:rPr>
          <w:rFonts w:ascii="Times New Roman" w:hAnsi="Times New Roman" w:cs="Times New Roman"/>
        </w:rPr>
        <w:t xml:space="preserve"> in African salad (</w:t>
      </w:r>
      <w:proofErr w:type="spellStart"/>
      <w:r w:rsidRPr="004305D0">
        <w:rPr>
          <w:rFonts w:ascii="Times New Roman" w:hAnsi="Times New Roman" w:cs="Times New Roman"/>
        </w:rPr>
        <w:t>abacha</w:t>
      </w:r>
      <w:proofErr w:type="spellEnd"/>
      <w:r w:rsidRPr="004305D0">
        <w:rPr>
          <w:rFonts w:ascii="Times New Roman" w:hAnsi="Times New Roman" w:cs="Times New Roman"/>
        </w:rPr>
        <w:t>) sold in Enugu Metropolis</w:t>
      </w:r>
    </w:p>
    <w:p w:rsidR="004D1E2A" w:rsidRPr="004305D0" w:rsidRDefault="004D1E2A" w:rsidP="00D97EE9">
      <w:pPr>
        <w:jc w:val="both"/>
        <w:rPr>
          <w:rFonts w:ascii="Times New Roman" w:hAnsi="Times New Roman" w:cs="Times New Roman"/>
        </w:rPr>
      </w:pPr>
      <w:r w:rsidRPr="004305D0">
        <w:rPr>
          <w:rFonts w:ascii="Times New Roman" w:hAnsi="Times New Roman" w:cs="Times New Roman"/>
          <w:noProof/>
        </w:rPr>
        <w:drawing>
          <wp:inline distT="0" distB="0" distL="0" distR="0">
            <wp:extent cx="5943600" cy="2743200"/>
            <wp:effectExtent l="0" t="0" r="0" b="0"/>
            <wp:docPr id="93195693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D45A8534-97C2-361C-9C76-862BAD5AE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1E2A" w:rsidRPr="004305D0" w:rsidRDefault="004D1E2A" w:rsidP="00D97EE9">
      <w:pPr>
        <w:jc w:val="both"/>
        <w:rPr>
          <w:rFonts w:ascii="Times New Roman" w:hAnsi="Times New Roman" w:cs="Times New Roman"/>
          <w:b/>
        </w:rPr>
      </w:pPr>
      <w:r w:rsidRPr="004305D0">
        <w:rPr>
          <w:rFonts w:ascii="Times New Roman" w:hAnsi="Times New Roman" w:cs="Times New Roman"/>
          <w:b/>
          <w:bCs/>
        </w:rPr>
        <w:t xml:space="preserve">Figure 5: </w:t>
      </w:r>
      <w:r w:rsidRPr="004305D0">
        <w:rPr>
          <w:rFonts w:ascii="Times New Roman" w:hAnsi="Times New Roman" w:cs="Times New Roman"/>
        </w:rPr>
        <w:t xml:space="preserve">Graphical representation of Antibiotic sensitivity of </w:t>
      </w:r>
      <w:r w:rsidRPr="004305D0">
        <w:rPr>
          <w:rFonts w:ascii="Times New Roman" w:hAnsi="Times New Roman" w:cs="Times New Roman"/>
          <w:i/>
          <w:iCs/>
        </w:rPr>
        <w:t xml:space="preserve">Pseudomonas </w:t>
      </w:r>
      <w:proofErr w:type="spellStart"/>
      <w:r w:rsidRPr="004305D0">
        <w:rPr>
          <w:rFonts w:ascii="Times New Roman" w:hAnsi="Times New Roman" w:cs="Times New Roman"/>
          <w:i/>
          <w:iCs/>
        </w:rPr>
        <w:t>aeruginosa</w:t>
      </w:r>
      <w:r w:rsidR="009F150C" w:rsidRPr="004305D0">
        <w:rPr>
          <w:rFonts w:ascii="Times New Roman" w:hAnsi="Times New Roman" w:cs="Times New Roman"/>
        </w:rPr>
        <w:t>in</w:t>
      </w:r>
      <w:proofErr w:type="spellEnd"/>
      <w:r w:rsidR="009F150C" w:rsidRPr="004305D0">
        <w:rPr>
          <w:rFonts w:ascii="Times New Roman" w:hAnsi="Times New Roman" w:cs="Times New Roman"/>
        </w:rPr>
        <w:t xml:space="preserve"> African salad (</w:t>
      </w:r>
      <w:proofErr w:type="spellStart"/>
      <w:r w:rsidR="009F150C" w:rsidRPr="004305D0">
        <w:rPr>
          <w:rFonts w:ascii="Times New Roman" w:hAnsi="Times New Roman" w:cs="Times New Roman"/>
        </w:rPr>
        <w:t>A</w:t>
      </w:r>
      <w:r w:rsidRPr="004305D0">
        <w:rPr>
          <w:rFonts w:ascii="Times New Roman" w:hAnsi="Times New Roman" w:cs="Times New Roman"/>
        </w:rPr>
        <w:t>bacha</w:t>
      </w:r>
      <w:proofErr w:type="spellEnd"/>
      <w:r w:rsidRPr="004305D0">
        <w:rPr>
          <w:rFonts w:ascii="Times New Roman" w:hAnsi="Times New Roman" w:cs="Times New Roman"/>
        </w:rPr>
        <w:t>) sold in Enugu Metropolis</w:t>
      </w:r>
    </w:p>
    <w:p w:rsidR="00B74E26" w:rsidRPr="004305D0" w:rsidRDefault="00B74E26" w:rsidP="00B31964">
      <w:pPr>
        <w:pStyle w:val="ListParagraph"/>
        <w:numPr>
          <w:ilvl w:val="0"/>
          <w:numId w:val="2"/>
        </w:numPr>
        <w:jc w:val="both"/>
        <w:rPr>
          <w:rFonts w:ascii="Times New Roman" w:hAnsi="Times New Roman" w:cs="Times New Roman"/>
          <w:b/>
        </w:rPr>
      </w:pPr>
      <w:r w:rsidRPr="004305D0">
        <w:rPr>
          <w:rFonts w:ascii="Times New Roman" w:hAnsi="Times New Roman" w:cs="Times New Roman"/>
          <w:b/>
        </w:rPr>
        <w:t>Discussion</w:t>
      </w:r>
    </w:p>
    <w:p w:rsidR="00B74E26" w:rsidRPr="004305D0" w:rsidRDefault="00B74E26" w:rsidP="00D97EE9">
      <w:pPr>
        <w:pStyle w:val="NormalWeb"/>
        <w:spacing w:line="276" w:lineRule="auto"/>
        <w:contextualSpacing/>
        <w:jc w:val="both"/>
        <w:rPr>
          <w:sz w:val="22"/>
          <w:szCs w:val="22"/>
        </w:rPr>
      </w:pPr>
      <w:r w:rsidRPr="004305D0">
        <w:rPr>
          <w:sz w:val="22"/>
          <w:szCs w:val="22"/>
        </w:rPr>
        <w:t>This study offers crucial insights into the bacterial contamination of African salad (</w:t>
      </w:r>
      <w:proofErr w:type="spellStart"/>
      <w:r w:rsidRPr="004305D0">
        <w:rPr>
          <w:rStyle w:val="Emphasis"/>
          <w:sz w:val="22"/>
          <w:szCs w:val="22"/>
        </w:rPr>
        <w:t>Abacha</w:t>
      </w:r>
      <w:proofErr w:type="spellEnd"/>
      <w:r w:rsidRPr="004305D0">
        <w:rPr>
          <w:sz w:val="22"/>
          <w:szCs w:val="22"/>
        </w:rPr>
        <w:t xml:space="preserve">), a widely consumed street food in Enugu Metropolis, Nigeria. The findings revealed that 53.3% of the </w:t>
      </w:r>
      <w:proofErr w:type="spellStart"/>
      <w:r w:rsidRPr="004305D0">
        <w:rPr>
          <w:rStyle w:val="Emphasis"/>
          <w:sz w:val="22"/>
          <w:szCs w:val="22"/>
        </w:rPr>
        <w:t>Abacha</w:t>
      </w:r>
      <w:proofErr w:type="spellEnd"/>
      <w:r w:rsidRPr="004305D0">
        <w:rPr>
          <w:sz w:val="22"/>
          <w:szCs w:val="22"/>
        </w:rPr>
        <w:t xml:space="preserve"> samples were contaminated with bacteria, while 46.7% showed no bacterial growth. This balance indicates a need for improved food hygiene and handling practices, as over half of the samples pose potential public health risks.</w:t>
      </w:r>
    </w:p>
    <w:p w:rsidR="00B74E26" w:rsidRPr="004305D0" w:rsidRDefault="00B74E26" w:rsidP="00D97EE9">
      <w:pPr>
        <w:pStyle w:val="NormalWeb"/>
        <w:spacing w:line="276" w:lineRule="auto"/>
        <w:contextualSpacing/>
        <w:jc w:val="both"/>
        <w:rPr>
          <w:sz w:val="22"/>
          <w:szCs w:val="22"/>
        </w:rPr>
      </w:pPr>
      <w:r w:rsidRPr="004305D0">
        <w:rPr>
          <w:sz w:val="22"/>
          <w:szCs w:val="22"/>
        </w:rPr>
        <w:lastRenderedPageBreak/>
        <w:t xml:space="preserve">The predominance of </w:t>
      </w:r>
      <w:r w:rsidRPr="004305D0">
        <w:rPr>
          <w:rStyle w:val="Emphasis"/>
          <w:sz w:val="22"/>
          <w:szCs w:val="22"/>
        </w:rPr>
        <w:t xml:space="preserve">Staphylococcus </w:t>
      </w:r>
      <w:proofErr w:type="spellStart"/>
      <w:r w:rsidRPr="004305D0">
        <w:rPr>
          <w:rStyle w:val="Emphasis"/>
          <w:sz w:val="22"/>
          <w:szCs w:val="22"/>
        </w:rPr>
        <w:t>aureus</w:t>
      </w:r>
      <w:proofErr w:type="spellEnd"/>
      <w:r w:rsidRPr="004305D0">
        <w:rPr>
          <w:sz w:val="22"/>
          <w:szCs w:val="22"/>
        </w:rPr>
        <w:t xml:space="preserve"> in 50.0% of the contaminated samples is concerning, as this organism is a well-documented cause of foodborne illnesses. Its presence in the samples strongly suggests poor hygiene during the preparation and handling of </w:t>
      </w:r>
      <w:proofErr w:type="spellStart"/>
      <w:r w:rsidRPr="004305D0">
        <w:rPr>
          <w:rStyle w:val="Emphasis"/>
          <w:i w:val="0"/>
          <w:sz w:val="22"/>
          <w:szCs w:val="22"/>
        </w:rPr>
        <w:t>Abacha</w:t>
      </w:r>
      <w:proofErr w:type="spellEnd"/>
      <w:r w:rsidRPr="004305D0">
        <w:rPr>
          <w:sz w:val="22"/>
          <w:szCs w:val="22"/>
        </w:rPr>
        <w:t xml:space="preserve">, such as improper washing of utensils, contaminated surfaces, and inadequate personal hygiene among vendors. Studies by </w:t>
      </w:r>
      <w:proofErr w:type="spellStart"/>
      <w:r w:rsidRPr="004305D0">
        <w:rPr>
          <w:rStyle w:val="Strong"/>
          <w:b w:val="0"/>
          <w:sz w:val="22"/>
          <w:szCs w:val="22"/>
        </w:rPr>
        <w:t>Anyanwu</w:t>
      </w:r>
      <w:proofErr w:type="spellEnd"/>
      <w:r w:rsidRPr="004305D0">
        <w:rPr>
          <w:rStyle w:val="Strong"/>
          <w:b w:val="0"/>
          <w:sz w:val="22"/>
          <w:szCs w:val="22"/>
        </w:rPr>
        <w:t xml:space="preserve"> et al.</w:t>
      </w:r>
      <w:r w:rsidRPr="004305D0">
        <w:rPr>
          <w:rStyle w:val="Strong"/>
          <w:sz w:val="22"/>
          <w:szCs w:val="22"/>
        </w:rPr>
        <w:t xml:space="preserve"> </w:t>
      </w:r>
      <w:r w:rsidRPr="004305D0">
        <w:rPr>
          <w:rStyle w:val="Strong"/>
          <w:b w:val="0"/>
          <w:sz w:val="22"/>
          <w:szCs w:val="22"/>
        </w:rPr>
        <w:t>(2015)</w:t>
      </w:r>
      <w:r w:rsidRPr="004305D0">
        <w:rPr>
          <w:sz w:val="22"/>
          <w:szCs w:val="22"/>
        </w:rPr>
        <w:t xml:space="preserve"> and </w:t>
      </w:r>
      <w:proofErr w:type="spellStart"/>
      <w:r w:rsidRPr="004305D0">
        <w:rPr>
          <w:rStyle w:val="Strong"/>
          <w:b w:val="0"/>
          <w:sz w:val="22"/>
          <w:szCs w:val="22"/>
        </w:rPr>
        <w:t>Obadina</w:t>
      </w:r>
      <w:proofErr w:type="spellEnd"/>
      <w:r w:rsidRPr="004305D0">
        <w:rPr>
          <w:rStyle w:val="Strong"/>
          <w:b w:val="0"/>
          <w:sz w:val="22"/>
          <w:szCs w:val="22"/>
        </w:rPr>
        <w:t xml:space="preserve"> et al. (2014)</w:t>
      </w:r>
      <w:r w:rsidRPr="004305D0">
        <w:rPr>
          <w:sz w:val="22"/>
          <w:szCs w:val="22"/>
        </w:rPr>
        <w:t xml:space="preserve"> have similarly reported high prevalence rates of </w:t>
      </w:r>
      <w:r w:rsidRPr="004305D0">
        <w:rPr>
          <w:rStyle w:val="Emphasis"/>
          <w:sz w:val="22"/>
          <w:szCs w:val="22"/>
        </w:rPr>
        <w:t xml:space="preserve">S. </w:t>
      </w:r>
      <w:proofErr w:type="spellStart"/>
      <w:r w:rsidRPr="004305D0">
        <w:rPr>
          <w:rStyle w:val="Emphasis"/>
          <w:sz w:val="22"/>
          <w:szCs w:val="22"/>
        </w:rPr>
        <w:t>aureus</w:t>
      </w:r>
      <w:proofErr w:type="spellEnd"/>
      <w:r w:rsidRPr="004305D0">
        <w:rPr>
          <w:sz w:val="22"/>
          <w:szCs w:val="22"/>
        </w:rPr>
        <w:t xml:space="preserve"> in street-vended foods in Nigeria, emphasizing the organism's persistence in environments with substandard sanitation. Additionally, </w:t>
      </w:r>
      <w:r w:rsidRPr="004305D0">
        <w:rPr>
          <w:rStyle w:val="Emphasis"/>
          <w:sz w:val="22"/>
          <w:szCs w:val="22"/>
        </w:rPr>
        <w:t xml:space="preserve">S. </w:t>
      </w:r>
      <w:proofErr w:type="spellStart"/>
      <w:r w:rsidRPr="004305D0">
        <w:rPr>
          <w:rStyle w:val="Emphasis"/>
          <w:sz w:val="22"/>
          <w:szCs w:val="22"/>
        </w:rPr>
        <w:t>aureus</w:t>
      </w:r>
      <w:proofErr w:type="spellEnd"/>
      <w:r w:rsidRPr="004305D0">
        <w:rPr>
          <w:sz w:val="22"/>
          <w:szCs w:val="22"/>
        </w:rPr>
        <w:t xml:space="preserve"> produces heat-stable enterotoxins, which remain active even after food is reheated, potentially leading to severe food poisoning symptoms in consumers.</w:t>
      </w:r>
    </w:p>
    <w:p w:rsidR="00B74E26" w:rsidRPr="004305D0" w:rsidRDefault="00B74E26" w:rsidP="00D97EE9">
      <w:pPr>
        <w:pStyle w:val="NormalWeb"/>
        <w:spacing w:line="276" w:lineRule="auto"/>
        <w:contextualSpacing/>
        <w:jc w:val="both"/>
        <w:rPr>
          <w:sz w:val="22"/>
          <w:szCs w:val="22"/>
        </w:rPr>
      </w:pPr>
      <w:r w:rsidRPr="004305D0">
        <w:rPr>
          <w:rStyle w:val="Emphasis"/>
          <w:sz w:val="22"/>
          <w:szCs w:val="22"/>
        </w:rPr>
        <w:t xml:space="preserve">Pseudomonas </w:t>
      </w:r>
      <w:proofErr w:type="spellStart"/>
      <w:r w:rsidRPr="004305D0">
        <w:rPr>
          <w:rStyle w:val="Emphasis"/>
          <w:sz w:val="22"/>
          <w:szCs w:val="22"/>
        </w:rPr>
        <w:t>aeruginosa</w:t>
      </w:r>
      <w:proofErr w:type="spellEnd"/>
      <w:r w:rsidRPr="004305D0">
        <w:rPr>
          <w:sz w:val="22"/>
          <w:szCs w:val="22"/>
        </w:rPr>
        <w:t xml:space="preserve">, identified in 31.2% of the contaminated samples, is an opportunistic pathogen typically associated with environmental contamination. Its occurrence in </w:t>
      </w:r>
      <w:proofErr w:type="spellStart"/>
      <w:r w:rsidRPr="004305D0">
        <w:rPr>
          <w:rStyle w:val="Emphasis"/>
          <w:i w:val="0"/>
          <w:sz w:val="22"/>
          <w:szCs w:val="22"/>
        </w:rPr>
        <w:t>Abacha</w:t>
      </w:r>
      <w:proofErr w:type="spellEnd"/>
      <w:r w:rsidRPr="004305D0">
        <w:rPr>
          <w:sz w:val="22"/>
          <w:szCs w:val="22"/>
        </w:rPr>
        <w:t xml:space="preserve"> may be linked to the use of contaminated water during food preparation or poor environmental sanitation in vending areas. Similar findings have been reported by </w:t>
      </w:r>
      <w:proofErr w:type="spellStart"/>
      <w:r w:rsidRPr="004305D0">
        <w:rPr>
          <w:rStyle w:val="Strong"/>
          <w:b w:val="0"/>
          <w:sz w:val="22"/>
          <w:szCs w:val="22"/>
        </w:rPr>
        <w:t>Eze</w:t>
      </w:r>
      <w:proofErr w:type="spellEnd"/>
      <w:r w:rsidRPr="004305D0">
        <w:rPr>
          <w:rStyle w:val="Strong"/>
          <w:b w:val="0"/>
          <w:sz w:val="22"/>
          <w:szCs w:val="22"/>
        </w:rPr>
        <w:t xml:space="preserve"> et al. (2016)</w:t>
      </w:r>
      <w:r w:rsidRPr="004305D0">
        <w:rPr>
          <w:b/>
          <w:sz w:val="22"/>
          <w:szCs w:val="22"/>
        </w:rPr>
        <w:t>,</w:t>
      </w:r>
      <w:r w:rsidRPr="004305D0">
        <w:rPr>
          <w:sz w:val="22"/>
          <w:szCs w:val="22"/>
        </w:rPr>
        <w:t xml:space="preserve"> who highlighted the bacterium’s presence in water and food sold in urban settings. The resilience of </w:t>
      </w:r>
      <w:r w:rsidRPr="004305D0">
        <w:rPr>
          <w:rStyle w:val="Emphasis"/>
          <w:sz w:val="22"/>
          <w:szCs w:val="22"/>
        </w:rPr>
        <w:t xml:space="preserve">P. </w:t>
      </w:r>
      <w:proofErr w:type="spellStart"/>
      <w:r w:rsidRPr="004305D0">
        <w:rPr>
          <w:rStyle w:val="Emphasis"/>
          <w:sz w:val="22"/>
          <w:szCs w:val="22"/>
        </w:rPr>
        <w:t>aeruginosa</w:t>
      </w:r>
      <w:proofErr w:type="spellEnd"/>
      <w:r w:rsidRPr="004305D0">
        <w:rPr>
          <w:sz w:val="22"/>
          <w:szCs w:val="22"/>
        </w:rPr>
        <w:t xml:space="preserve"> in diverse environments makes it a critical indicator of sanitation lapses.</w:t>
      </w:r>
    </w:p>
    <w:p w:rsidR="00B74E26" w:rsidRPr="004305D0" w:rsidRDefault="00B74E26" w:rsidP="00D97EE9">
      <w:pPr>
        <w:pStyle w:val="NormalWeb"/>
        <w:spacing w:line="276" w:lineRule="auto"/>
        <w:contextualSpacing/>
        <w:jc w:val="both"/>
        <w:rPr>
          <w:sz w:val="22"/>
          <w:szCs w:val="22"/>
        </w:rPr>
      </w:pPr>
      <w:r w:rsidRPr="004305D0">
        <w:rPr>
          <w:rStyle w:val="Emphasis"/>
          <w:sz w:val="22"/>
          <w:szCs w:val="22"/>
        </w:rPr>
        <w:t>Escherichia coli</w:t>
      </w:r>
      <w:r w:rsidRPr="004305D0">
        <w:rPr>
          <w:sz w:val="22"/>
          <w:szCs w:val="22"/>
        </w:rPr>
        <w:t xml:space="preserve">, isolated from 18.8% of the contaminated samples, is a key indicator of fecal contamination. Its presence suggests that the water used during preparation or the handling practices may have been compromised by fecal matter. This finding aligns with studies such as </w:t>
      </w:r>
      <w:proofErr w:type="spellStart"/>
      <w:r w:rsidRPr="004305D0">
        <w:rPr>
          <w:rStyle w:val="Strong"/>
          <w:b w:val="0"/>
          <w:sz w:val="22"/>
          <w:szCs w:val="22"/>
        </w:rPr>
        <w:t>Chukwu</w:t>
      </w:r>
      <w:proofErr w:type="spellEnd"/>
      <w:r w:rsidRPr="004305D0">
        <w:rPr>
          <w:rStyle w:val="Strong"/>
          <w:b w:val="0"/>
          <w:sz w:val="22"/>
          <w:szCs w:val="22"/>
        </w:rPr>
        <w:t xml:space="preserve"> et al. (2017)</w:t>
      </w:r>
      <w:r w:rsidRPr="004305D0">
        <w:rPr>
          <w:sz w:val="22"/>
          <w:szCs w:val="22"/>
        </w:rPr>
        <w:t xml:space="preserve"> and </w:t>
      </w:r>
      <w:proofErr w:type="spellStart"/>
      <w:r w:rsidRPr="004305D0">
        <w:rPr>
          <w:rStyle w:val="Strong"/>
          <w:b w:val="0"/>
          <w:sz w:val="22"/>
          <w:szCs w:val="22"/>
        </w:rPr>
        <w:t>Oluwafemi</w:t>
      </w:r>
      <w:proofErr w:type="spellEnd"/>
      <w:r w:rsidRPr="004305D0">
        <w:rPr>
          <w:rStyle w:val="Strong"/>
          <w:b w:val="0"/>
          <w:sz w:val="22"/>
          <w:szCs w:val="22"/>
        </w:rPr>
        <w:t xml:space="preserve"> and </w:t>
      </w:r>
      <w:proofErr w:type="spellStart"/>
      <w:r w:rsidRPr="004305D0">
        <w:rPr>
          <w:rStyle w:val="Strong"/>
          <w:b w:val="0"/>
          <w:sz w:val="22"/>
          <w:szCs w:val="22"/>
        </w:rPr>
        <w:t>Simisaye</w:t>
      </w:r>
      <w:proofErr w:type="spellEnd"/>
      <w:r w:rsidRPr="004305D0">
        <w:rPr>
          <w:rStyle w:val="Strong"/>
          <w:b w:val="0"/>
          <w:sz w:val="22"/>
          <w:szCs w:val="22"/>
        </w:rPr>
        <w:t xml:space="preserve"> (2014)</w:t>
      </w:r>
      <w:r w:rsidRPr="004305D0">
        <w:rPr>
          <w:b/>
          <w:sz w:val="22"/>
          <w:szCs w:val="22"/>
        </w:rPr>
        <w:t>,</w:t>
      </w:r>
      <w:r w:rsidRPr="004305D0">
        <w:rPr>
          <w:sz w:val="22"/>
          <w:szCs w:val="22"/>
        </w:rPr>
        <w:t xml:space="preserve"> which underscore the risks associated with using contaminated water in food processing. </w:t>
      </w:r>
      <w:r w:rsidRPr="004305D0">
        <w:rPr>
          <w:rStyle w:val="Emphasis"/>
          <w:sz w:val="22"/>
          <w:szCs w:val="22"/>
        </w:rPr>
        <w:t>E. coli</w:t>
      </w:r>
      <w:r w:rsidRPr="004305D0">
        <w:rPr>
          <w:sz w:val="22"/>
          <w:szCs w:val="22"/>
        </w:rPr>
        <w:t xml:space="preserve"> can cause a range of gastrointestinal illnesses, including diarrhea, abdominal cramps, and, in severe cases, hemolytic uremic syndrome (HUS).</w:t>
      </w:r>
    </w:p>
    <w:p w:rsidR="00B74E26" w:rsidRPr="004305D0" w:rsidRDefault="00B74E26" w:rsidP="00D97EE9">
      <w:pPr>
        <w:pStyle w:val="NormalWeb"/>
        <w:spacing w:line="276" w:lineRule="auto"/>
        <w:contextualSpacing/>
        <w:jc w:val="both"/>
        <w:rPr>
          <w:sz w:val="22"/>
          <w:szCs w:val="22"/>
        </w:rPr>
      </w:pPr>
      <w:r w:rsidRPr="004305D0">
        <w:rPr>
          <w:sz w:val="22"/>
          <w:szCs w:val="22"/>
        </w:rPr>
        <w:t xml:space="preserve">The variation in contamination levels across different locations—Abakpa (60.0%), Old Park (50.0%), and New Market (50.0%)—reflects the interplay between environmental sanitation, population density, and socioeconomic conditions. The higher contamination rate in Abakpa may be attributed to limited access to potable water, poor waste disposal practices, and overcrowding, consistent with observations in similar urban areas </w:t>
      </w:r>
      <w:r w:rsidRPr="004305D0">
        <w:rPr>
          <w:b/>
          <w:sz w:val="22"/>
          <w:szCs w:val="22"/>
        </w:rPr>
        <w:t>(</w:t>
      </w:r>
      <w:proofErr w:type="spellStart"/>
      <w:r w:rsidRPr="004305D0">
        <w:rPr>
          <w:rStyle w:val="Strong"/>
          <w:b w:val="0"/>
          <w:sz w:val="22"/>
          <w:szCs w:val="22"/>
        </w:rPr>
        <w:t>Oluwafemi</w:t>
      </w:r>
      <w:proofErr w:type="spellEnd"/>
      <w:r w:rsidRPr="004305D0">
        <w:rPr>
          <w:rStyle w:val="Strong"/>
          <w:b w:val="0"/>
          <w:sz w:val="22"/>
          <w:szCs w:val="22"/>
        </w:rPr>
        <w:t xml:space="preserve"> and </w:t>
      </w:r>
      <w:proofErr w:type="spellStart"/>
      <w:r w:rsidRPr="004305D0">
        <w:rPr>
          <w:rStyle w:val="Strong"/>
          <w:b w:val="0"/>
          <w:sz w:val="22"/>
          <w:szCs w:val="22"/>
        </w:rPr>
        <w:t>Simisaye</w:t>
      </w:r>
      <w:proofErr w:type="spellEnd"/>
      <w:r w:rsidRPr="004305D0">
        <w:rPr>
          <w:rStyle w:val="Strong"/>
          <w:b w:val="0"/>
          <w:sz w:val="22"/>
          <w:szCs w:val="22"/>
        </w:rPr>
        <w:t>, 2014</w:t>
      </w:r>
      <w:r w:rsidRPr="004305D0">
        <w:rPr>
          <w:b/>
          <w:sz w:val="22"/>
          <w:szCs w:val="22"/>
        </w:rPr>
        <w:t>).</w:t>
      </w:r>
      <w:r w:rsidRPr="004305D0">
        <w:rPr>
          <w:sz w:val="22"/>
          <w:szCs w:val="22"/>
        </w:rPr>
        <w:t xml:space="preserve"> These disparities highlight the need for tailored interventions to address the unique challenges in each area.</w:t>
      </w:r>
    </w:p>
    <w:p w:rsidR="00B74E26" w:rsidRPr="004305D0" w:rsidRDefault="00B74E26" w:rsidP="00D97EE9">
      <w:pPr>
        <w:pStyle w:val="NormalWeb"/>
        <w:spacing w:line="276" w:lineRule="auto"/>
        <w:contextualSpacing/>
        <w:jc w:val="both"/>
        <w:rPr>
          <w:sz w:val="22"/>
          <w:szCs w:val="22"/>
        </w:rPr>
      </w:pPr>
      <w:r w:rsidRPr="004305D0">
        <w:rPr>
          <w:sz w:val="22"/>
          <w:szCs w:val="22"/>
        </w:rPr>
        <w:t xml:space="preserve">The antibiotic sensitivity patterns observed in this study provide additional insights into the effectiveness of commonly used antibiotics against the isolated bacteria. </w:t>
      </w:r>
      <w:r w:rsidRPr="004305D0">
        <w:rPr>
          <w:rStyle w:val="Emphasis"/>
          <w:sz w:val="22"/>
          <w:szCs w:val="22"/>
        </w:rPr>
        <w:t xml:space="preserve">S. </w:t>
      </w:r>
      <w:proofErr w:type="spellStart"/>
      <w:r w:rsidRPr="004305D0">
        <w:rPr>
          <w:rStyle w:val="Emphasis"/>
          <w:sz w:val="22"/>
          <w:szCs w:val="22"/>
        </w:rPr>
        <w:t>aureus</w:t>
      </w:r>
      <w:proofErr w:type="spellEnd"/>
      <w:r w:rsidRPr="004305D0">
        <w:rPr>
          <w:sz w:val="22"/>
          <w:szCs w:val="22"/>
        </w:rPr>
        <w:t xml:space="preserve"> showed the highest sensitivity to Gentamicin (87.5%) and Ciprofloxacin (75.0%), making these antibiotics effective options for treating infections caused by this organism. However, its high resistance to Ceftriaxone (75.0%) and Tetracycline (75.0%) is consistent with global trends of antimicrobial resistance, as noted by </w:t>
      </w:r>
      <w:r w:rsidRPr="004305D0">
        <w:rPr>
          <w:rStyle w:val="Strong"/>
          <w:b w:val="0"/>
          <w:sz w:val="22"/>
          <w:szCs w:val="22"/>
        </w:rPr>
        <w:t>WHO (2020)</w:t>
      </w:r>
      <w:r w:rsidRPr="004305D0">
        <w:rPr>
          <w:b/>
          <w:sz w:val="22"/>
          <w:szCs w:val="22"/>
        </w:rPr>
        <w:t>.</w:t>
      </w:r>
      <w:r w:rsidRPr="004305D0">
        <w:rPr>
          <w:sz w:val="22"/>
          <w:szCs w:val="22"/>
        </w:rPr>
        <w:t xml:space="preserve"> These findings highlight the importance of antibiotic stewardship and the need for regular surveillance of resistance patterns.</w:t>
      </w:r>
    </w:p>
    <w:p w:rsidR="00B74E26" w:rsidRPr="004305D0" w:rsidRDefault="00B74E26" w:rsidP="00D97EE9">
      <w:pPr>
        <w:pStyle w:val="NormalWeb"/>
        <w:spacing w:line="276" w:lineRule="auto"/>
        <w:contextualSpacing/>
        <w:jc w:val="both"/>
        <w:rPr>
          <w:sz w:val="22"/>
          <w:szCs w:val="22"/>
        </w:rPr>
      </w:pPr>
      <w:r w:rsidRPr="004305D0">
        <w:rPr>
          <w:sz w:val="22"/>
          <w:szCs w:val="22"/>
        </w:rPr>
        <w:t xml:space="preserve">For </w:t>
      </w:r>
      <w:r w:rsidRPr="004305D0">
        <w:rPr>
          <w:rStyle w:val="Emphasis"/>
          <w:sz w:val="22"/>
          <w:szCs w:val="22"/>
        </w:rPr>
        <w:t>E. coli</w:t>
      </w:r>
      <w:r w:rsidRPr="004305D0">
        <w:rPr>
          <w:sz w:val="22"/>
          <w:szCs w:val="22"/>
        </w:rPr>
        <w:t xml:space="preserve">, complete sensitivity to Gentamicin and Ciprofloxacin suggests that these antibiotics remain highly effective. However, its complete resistance to Ampicillin and significant resistance to Ceftriaxone (66.7%) indicate emerging challenges in treating </w:t>
      </w:r>
      <w:r w:rsidRPr="004305D0">
        <w:rPr>
          <w:rStyle w:val="Emphasis"/>
          <w:sz w:val="22"/>
          <w:szCs w:val="22"/>
        </w:rPr>
        <w:t>E. coli</w:t>
      </w:r>
      <w:r w:rsidRPr="004305D0">
        <w:rPr>
          <w:sz w:val="22"/>
          <w:szCs w:val="22"/>
        </w:rPr>
        <w:t xml:space="preserve">-related infections. The findings are in line with </w:t>
      </w:r>
      <w:proofErr w:type="spellStart"/>
      <w:r w:rsidRPr="004305D0">
        <w:rPr>
          <w:rStyle w:val="Strong"/>
          <w:b w:val="0"/>
          <w:sz w:val="22"/>
          <w:szCs w:val="22"/>
        </w:rPr>
        <w:t>Igbinosa</w:t>
      </w:r>
      <w:proofErr w:type="spellEnd"/>
      <w:r w:rsidRPr="004305D0">
        <w:rPr>
          <w:rStyle w:val="Strong"/>
          <w:b w:val="0"/>
          <w:sz w:val="22"/>
          <w:szCs w:val="22"/>
        </w:rPr>
        <w:t xml:space="preserve"> et al. (2015)</w:t>
      </w:r>
      <w:r w:rsidRPr="004305D0">
        <w:rPr>
          <w:b/>
          <w:sz w:val="22"/>
          <w:szCs w:val="22"/>
        </w:rPr>
        <w:t>,</w:t>
      </w:r>
      <w:r w:rsidRPr="004305D0">
        <w:rPr>
          <w:sz w:val="22"/>
          <w:szCs w:val="22"/>
        </w:rPr>
        <w:t xml:space="preserve"> who reported similar resistance patterns in foodborne pathogens, emphasizing the impact of indiscriminate antibiotic use in both human health and animal husbandry.</w:t>
      </w:r>
    </w:p>
    <w:p w:rsidR="00B74E26" w:rsidRPr="004305D0" w:rsidRDefault="00B74E26" w:rsidP="00D97EE9">
      <w:pPr>
        <w:pStyle w:val="NormalWeb"/>
        <w:spacing w:line="276" w:lineRule="auto"/>
        <w:contextualSpacing/>
        <w:jc w:val="both"/>
        <w:rPr>
          <w:sz w:val="22"/>
          <w:szCs w:val="22"/>
        </w:rPr>
      </w:pPr>
      <w:r w:rsidRPr="004305D0">
        <w:rPr>
          <w:rStyle w:val="Emphasis"/>
          <w:sz w:val="22"/>
          <w:szCs w:val="22"/>
        </w:rPr>
        <w:t xml:space="preserve">Pseudomonas </w:t>
      </w:r>
      <w:proofErr w:type="spellStart"/>
      <w:r w:rsidRPr="004305D0">
        <w:rPr>
          <w:rStyle w:val="Emphasis"/>
          <w:sz w:val="22"/>
          <w:szCs w:val="22"/>
        </w:rPr>
        <w:t>aeruginosa</w:t>
      </w:r>
      <w:proofErr w:type="spellEnd"/>
      <w:r w:rsidRPr="004305D0">
        <w:rPr>
          <w:sz w:val="22"/>
          <w:szCs w:val="22"/>
        </w:rPr>
        <w:t xml:space="preserve"> demonstrated moderate sensitivity to Gentamicin (60.0%) and higher sensitivity to Ciprofloxacin (80.0%), confirming their efficacy. However, its high resistance rates to Ceftriaxone (80.0%) and Tetracycline (80.0%) align with </w:t>
      </w:r>
      <w:proofErr w:type="spellStart"/>
      <w:r w:rsidRPr="004305D0">
        <w:rPr>
          <w:rStyle w:val="Strong"/>
          <w:b w:val="0"/>
          <w:sz w:val="22"/>
          <w:szCs w:val="22"/>
        </w:rPr>
        <w:t>Nwachukwu</w:t>
      </w:r>
      <w:proofErr w:type="spellEnd"/>
      <w:r w:rsidRPr="004305D0">
        <w:rPr>
          <w:rStyle w:val="Strong"/>
          <w:b w:val="0"/>
          <w:sz w:val="22"/>
          <w:szCs w:val="22"/>
        </w:rPr>
        <w:t xml:space="preserve"> et al. (2014)</w:t>
      </w:r>
      <w:r w:rsidRPr="004305D0">
        <w:rPr>
          <w:b/>
          <w:sz w:val="22"/>
          <w:szCs w:val="22"/>
        </w:rPr>
        <w:t>,</w:t>
      </w:r>
      <w:r w:rsidRPr="004305D0">
        <w:rPr>
          <w:sz w:val="22"/>
          <w:szCs w:val="22"/>
        </w:rPr>
        <w:t xml:space="preserve"> who highlighted this pathogen's inherent resistance mechanisms, including efflux pumps and biofilm formation.</w:t>
      </w:r>
    </w:p>
    <w:p w:rsidR="00B74E26" w:rsidRPr="004305D0" w:rsidRDefault="00B74E26" w:rsidP="00D97EE9">
      <w:pPr>
        <w:pStyle w:val="NormalWeb"/>
        <w:spacing w:line="276" w:lineRule="auto"/>
        <w:contextualSpacing/>
        <w:jc w:val="both"/>
        <w:rPr>
          <w:sz w:val="22"/>
          <w:szCs w:val="22"/>
        </w:rPr>
      </w:pPr>
      <w:r w:rsidRPr="004305D0">
        <w:rPr>
          <w:sz w:val="22"/>
          <w:szCs w:val="22"/>
        </w:rPr>
        <w:t xml:space="preserve">The absence of bacterial growth in 46.7% of the samples indicates that hygienic practices and proper handling can significantly reduce contamination. These findings suggest that interventions such as vendor </w:t>
      </w:r>
      <w:r w:rsidRPr="004305D0">
        <w:rPr>
          <w:sz w:val="22"/>
          <w:szCs w:val="22"/>
        </w:rPr>
        <w:lastRenderedPageBreak/>
        <w:t>training on hygiene, provision of clean water, and regular inspections could enhance food safety and protect public health.</w:t>
      </w:r>
    </w:p>
    <w:p w:rsidR="00FE31F0" w:rsidRPr="004305D0" w:rsidRDefault="00B74E26" w:rsidP="00D97EE9">
      <w:pPr>
        <w:pStyle w:val="NormalWeb"/>
        <w:spacing w:line="276" w:lineRule="auto"/>
        <w:contextualSpacing/>
        <w:jc w:val="both"/>
        <w:rPr>
          <w:sz w:val="22"/>
          <w:szCs w:val="22"/>
        </w:rPr>
      </w:pPr>
      <w:r w:rsidRPr="004305D0">
        <w:rPr>
          <w:sz w:val="22"/>
          <w:szCs w:val="22"/>
        </w:rPr>
        <w:t>The findings of this study are consistent with previous research on street-vended foods in Nigeria and other developing countries. However, the study also highlights a persistent gap in food safety practices, underscoring the need for improved regulatory frameworks, awareness campaigns, and investment in infrastructure to support food vendors. By comparing these results with existing literature, it becomes evident that a combination of education, enforcement, and community involvement is essential for mitigating the risks associated with bacterial contamination in street foods.</w:t>
      </w:r>
    </w:p>
    <w:p w:rsidR="00FE31F0" w:rsidRPr="004305D0" w:rsidRDefault="00FE31F0" w:rsidP="00D97EE9">
      <w:pPr>
        <w:pStyle w:val="NormalWeb"/>
        <w:spacing w:line="276" w:lineRule="auto"/>
        <w:contextualSpacing/>
        <w:jc w:val="both"/>
        <w:rPr>
          <w:b/>
          <w:sz w:val="22"/>
          <w:szCs w:val="22"/>
        </w:rPr>
      </w:pPr>
    </w:p>
    <w:p w:rsidR="00FE31F0" w:rsidRPr="004305D0" w:rsidRDefault="00FE31F0" w:rsidP="00B31964">
      <w:pPr>
        <w:pStyle w:val="NormalWeb"/>
        <w:numPr>
          <w:ilvl w:val="0"/>
          <w:numId w:val="2"/>
        </w:numPr>
        <w:spacing w:line="276" w:lineRule="auto"/>
        <w:contextualSpacing/>
        <w:jc w:val="both"/>
        <w:rPr>
          <w:b/>
          <w:sz w:val="22"/>
          <w:szCs w:val="22"/>
        </w:rPr>
      </w:pPr>
      <w:r w:rsidRPr="004305D0">
        <w:rPr>
          <w:b/>
          <w:sz w:val="22"/>
          <w:szCs w:val="22"/>
        </w:rPr>
        <w:t>CONCLUSION</w:t>
      </w:r>
    </w:p>
    <w:p w:rsidR="00FE31F0" w:rsidRPr="004305D0" w:rsidRDefault="00FE31F0" w:rsidP="00D97EE9">
      <w:pPr>
        <w:pStyle w:val="NormalWeb"/>
        <w:spacing w:line="276" w:lineRule="auto"/>
        <w:contextualSpacing/>
        <w:jc w:val="both"/>
        <w:rPr>
          <w:sz w:val="22"/>
          <w:szCs w:val="22"/>
        </w:rPr>
      </w:pPr>
      <w:r w:rsidRPr="004305D0">
        <w:rPr>
          <w:sz w:val="22"/>
          <w:szCs w:val="22"/>
        </w:rPr>
        <w:t>This study has revealed significant bacterial contamination in African salad (</w:t>
      </w:r>
      <w:proofErr w:type="spellStart"/>
      <w:r w:rsidRPr="004305D0">
        <w:rPr>
          <w:rStyle w:val="Emphasis"/>
          <w:sz w:val="22"/>
          <w:szCs w:val="22"/>
        </w:rPr>
        <w:t>Abacha</w:t>
      </w:r>
      <w:proofErr w:type="spellEnd"/>
      <w:r w:rsidRPr="004305D0">
        <w:rPr>
          <w:sz w:val="22"/>
          <w:szCs w:val="22"/>
        </w:rPr>
        <w:t xml:space="preserve">) sold by vendors in Enugu Metropolis, with 53.3% of the analyzed samples exhibiting bacterial growth. The predominant isolates, </w:t>
      </w:r>
      <w:r w:rsidRPr="004305D0">
        <w:rPr>
          <w:rStyle w:val="Emphasis"/>
          <w:sz w:val="22"/>
          <w:szCs w:val="22"/>
        </w:rPr>
        <w:t xml:space="preserve">Staphylococcus </w:t>
      </w:r>
      <w:proofErr w:type="spellStart"/>
      <w:r w:rsidRPr="004305D0">
        <w:rPr>
          <w:rStyle w:val="Emphasis"/>
          <w:sz w:val="22"/>
          <w:szCs w:val="22"/>
        </w:rPr>
        <w:t>aureus</w:t>
      </w:r>
      <w:proofErr w:type="spellEnd"/>
      <w:r w:rsidRPr="004305D0">
        <w:rPr>
          <w:sz w:val="22"/>
          <w:szCs w:val="22"/>
        </w:rPr>
        <w:t xml:space="preserve">, </w:t>
      </w:r>
      <w:r w:rsidRPr="004305D0">
        <w:rPr>
          <w:rStyle w:val="Emphasis"/>
          <w:sz w:val="22"/>
          <w:szCs w:val="22"/>
        </w:rPr>
        <w:t xml:space="preserve">Pseudomonas </w:t>
      </w:r>
      <w:proofErr w:type="spellStart"/>
      <w:r w:rsidRPr="004305D0">
        <w:rPr>
          <w:rStyle w:val="Emphasis"/>
          <w:sz w:val="22"/>
          <w:szCs w:val="22"/>
        </w:rPr>
        <w:t>aeruginosa</w:t>
      </w:r>
      <w:proofErr w:type="spellEnd"/>
      <w:r w:rsidRPr="004305D0">
        <w:rPr>
          <w:sz w:val="22"/>
          <w:szCs w:val="22"/>
        </w:rPr>
        <w:t xml:space="preserve">, and </w:t>
      </w:r>
      <w:r w:rsidRPr="004305D0">
        <w:rPr>
          <w:rStyle w:val="Emphasis"/>
          <w:sz w:val="22"/>
          <w:szCs w:val="22"/>
        </w:rPr>
        <w:t>Escherichia coli</w:t>
      </w:r>
      <w:r w:rsidRPr="004305D0">
        <w:rPr>
          <w:sz w:val="22"/>
          <w:szCs w:val="22"/>
        </w:rPr>
        <w:t>, underscore concerns over hygiene and handling practices. These bacteria are known to cause foodborne illnesses and opportunistic infections, posing health risks to consumers.</w:t>
      </w:r>
    </w:p>
    <w:p w:rsidR="00FE31F0" w:rsidRPr="004305D0" w:rsidRDefault="00FE31F0" w:rsidP="00D97EE9">
      <w:pPr>
        <w:pStyle w:val="NormalWeb"/>
        <w:spacing w:line="276" w:lineRule="auto"/>
        <w:contextualSpacing/>
        <w:jc w:val="both"/>
        <w:rPr>
          <w:sz w:val="22"/>
          <w:szCs w:val="22"/>
        </w:rPr>
      </w:pPr>
      <w:r w:rsidRPr="004305D0">
        <w:rPr>
          <w:sz w:val="22"/>
          <w:szCs w:val="22"/>
        </w:rPr>
        <w:t>The variation in contamination levels across different locations further highlights the role of environmental and socioeconomic factors in influencing food safety. While 46.7% of the samples showed no bacterial growth, suggesting good hygienic practices by some vendors, the presence of antibiotic-resistant strains in the contaminated samples signals a growing public health challenge.</w:t>
      </w:r>
    </w:p>
    <w:p w:rsidR="00FE31F0" w:rsidRPr="004305D0" w:rsidRDefault="00FE31F0" w:rsidP="00D97EE9">
      <w:pPr>
        <w:pStyle w:val="NormalWeb"/>
        <w:spacing w:line="276" w:lineRule="auto"/>
        <w:contextualSpacing/>
        <w:jc w:val="both"/>
        <w:rPr>
          <w:sz w:val="22"/>
          <w:szCs w:val="22"/>
        </w:rPr>
      </w:pPr>
      <w:r w:rsidRPr="004305D0">
        <w:rPr>
          <w:sz w:val="22"/>
          <w:szCs w:val="22"/>
        </w:rPr>
        <w:t>These findings emphasize the urgent need for improved hygiene during food preparation, stricter regulatory oversight of street foods, and public health education to reduce bacterial contamination and safeguard consumers.</w:t>
      </w:r>
    </w:p>
    <w:p w:rsidR="004305D0" w:rsidRPr="004305D0" w:rsidRDefault="004305D0" w:rsidP="004305D0">
      <w:pPr>
        <w:jc w:val="both"/>
        <w:rPr>
          <w:rFonts w:ascii="Times New Roman" w:hAnsi="Times New Roman" w:cs="Times New Roman"/>
          <w:b/>
        </w:rPr>
      </w:pPr>
    </w:p>
    <w:p w:rsidR="009F150C" w:rsidRPr="004305D0" w:rsidRDefault="009F150C" w:rsidP="004305D0">
      <w:pPr>
        <w:jc w:val="both"/>
        <w:rPr>
          <w:rFonts w:ascii="Times New Roman" w:hAnsi="Times New Roman" w:cs="Times New Roman"/>
          <w:b/>
        </w:rPr>
      </w:pPr>
      <w:r w:rsidRPr="004305D0">
        <w:rPr>
          <w:rFonts w:ascii="Times New Roman" w:hAnsi="Times New Roman" w:cs="Times New Roman"/>
          <w:b/>
        </w:rPr>
        <w:t>REFERENCES</w:t>
      </w:r>
    </w:p>
    <w:p w:rsidR="004305D0" w:rsidRPr="004305D0" w:rsidRDefault="004305D0" w:rsidP="00D97EE9">
      <w:pPr>
        <w:spacing w:after="0"/>
        <w:ind w:hanging="72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r w:rsidRPr="004305D0">
        <w:rPr>
          <w:rFonts w:ascii="Times New Roman" w:eastAsia="Times New Roman" w:hAnsi="Times New Roman" w:cs="Times New Roman"/>
        </w:rPr>
        <w:t>Adebayo-</w:t>
      </w:r>
      <w:proofErr w:type="spellStart"/>
      <w:r w:rsidRPr="004305D0">
        <w:rPr>
          <w:rFonts w:ascii="Times New Roman" w:eastAsia="Times New Roman" w:hAnsi="Times New Roman" w:cs="Times New Roman"/>
        </w:rPr>
        <w:t>Tayo</w:t>
      </w:r>
      <w:proofErr w:type="spellEnd"/>
      <w:r w:rsidRPr="004305D0">
        <w:rPr>
          <w:rFonts w:ascii="Times New Roman" w:eastAsia="Times New Roman" w:hAnsi="Times New Roman" w:cs="Times New Roman"/>
        </w:rPr>
        <w:t xml:space="preserve">, B.C., and </w:t>
      </w:r>
      <w:proofErr w:type="spellStart"/>
      <w:r w:rsidRPr="004305D0">
        <w:rPr>
          <w:rFonts w:ascii="Times New Roman" w:eastAsia="Times New Roman" w:hAnsi="Times New Roman" w:cs="Times New Roman"/>
        </w:rPr>
        <w:t>Odu</w:t>
      </w:r>
      <w:proofErr w:type="spellEnd"/>
      <w:r w:rsidRPr="004305D0">
        <w:rPr>
          <w:rFonts w:ascii="Times New Roman" w:eastAsia="Times New Roman" w:hAnsi="Times New Roman" w:cs="Times New Roman"/>
        </w:rPr>
        <w:t xml:space="preserve">, N.N., 2017. Microbiological analysis of street-vended foods: a focus on </w:t>
      </w:r>
      <w:proofErr w:type="spellStart"/>
      <w:r w:rsidRPr="004305D0">
        <w:rPr>
          <w:rFonts w:ascii="Times New Roman" w:eastAsia="Times New Roman" w:hAnsi="Times New Roman" w:cs="Times New Roman"/>
        </w:rPr>
        <w:t>Abacha</w:t>
      </w:r>
      <w:proofErr w:type="spellEnd"/>
      <w:r w:rsidRPr="004305D0">
        <w:rPr>
          <w:rFonts w:ascii="Times New Roman" w:eastAsia="Times New Roman" w:hAnsi="Times New Roman" w:cs="Times New Roman"/>
        </w:rPr>
        <w:t xml:space="preserve"> in urban Nigeria. </w:t>
      </w:r>
      <w:r w:rsidRPr="004305D0">
        <w:rPr>
          <w:rFonts w:ascii="Times New Roman" w:eastAsia="Times New Roman" w:hAnsi="Times New Roman" w:cs="Times New Roman"/>
          <w:i/>
          <w:iCs/>
        </w:rPr>
        <w:t>African Journal of Biotechnology,</w:t>
      </w:r>
      <w:r w:rsidR="008D6473">
        <w:rPr>
          <w:rFonts w:ascii="Times New Roman" w:eastAsia="Times New Roman" w:hAnsi="Times New Roman" w:cs="Times New Roman"/>
        </w:rPr>
        <w:t xml:space="preserve"> 16(30), </w:t>
      </w:r>
      <w:r w:rsidRPr="004305D0">
        <w:rPr>
          <w:rFonts w:ascii="Times New Roman" w:eastAsia="Times New Roman" w:hAnsi="Times New Roman" w:cs="Times New Roman"/>
        </w:rPr>
        <w:t>1784-1791.</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Adeyemi</w:t>
      </w:r>
      <w:proofErr w:type="spellEnd"/>
      <w:r w:rsidRPr="004305D0">
        <w:rPr>
          <w:rFonts w:ascii="Times New Roman" w:eastAsia="Times New Roman" w:hAnsi="Times New Roman" w:cs="Times New Roman"/>
        </w:rPr>
        <w:t>, T.E., and Adebayo, K., 2019. Temperature control and microbial contamination of street-vended African salad (</w:t>
      </w:r>
      <w:proofErr w:type="spellStart"/>
      <w:r w:rsidRPr="004305D0">
        <w:rPr>
          <w:rFonts w:ascii="Times New Roman" w:eastAsia="Times New Roman" w:hAnsi="Times New Roman" w:cs="Times New Roman"/>
        </w:rPr>
        <w:t>Abacha</w:t>
      </w:r>
      <w:proofErr w:type="spellEnd"/>
      <w:r w:rsidRPr="004305D0">
        <w:rPr>
          <w:rFonts w:ascii="Times New Roman" w:eastAsia="Times New Roman" w:hAnsi="Times New Roman" w:cs="Times New Roman"/>
        </w:rPr>
        <w:t xml:space="preserve">) in Southeastern Nigeria. </w:t>
      </w:r>
      <w:r w:rsidRPr="004305D0">
        <w:rPr>
          <w:rFonts w:ascii="Times New Roman" w:eastAsia="Times New Roman" w:hAnsi="Times New Roman" w:cs="Times New Roman"/>
          <w:i/>
          <w:iCs/>
        </w:rPr>
        <w:t>Journal of Food Quality and Safety,</w:t>
      </w:r>
      <w:r w:rsidR="008D6473">
        <w:rPr>
          <w:rFonts w:ascii="Times New Roman" w:eastAsia="Times New Roman" w:hAnsi="Times New Roman" w:cs="Times New Roman"/>
        </w:rPr>
        <w:t xml:space="preserve"> 13(2), </w:t>
      </w:r>
      <w:r w:rsidRPr="004305D0">
        <w:rPr>
          <w:rFonts w:ascii="Times New Roman" w:eastAsia="Times New Roman" w:hAnsi="Times New Roman" w:cs="Times New Roman"/>
        </w:rPr>
        <w:t>98-106.</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hAnsi="Times New Roman" w:cs="Times New Roman"/>
        </w:rPr>
        <w:t>Anozie</w:t>
      </w:r>
      <w:proofErr w:type="spellEnd"/>
      <w:r w:rsidRPr="004305D0">
        <w:rPr>
          <w:rFonts w:ascii="Times New Roman" w:hAnsi="Times New Roman" w:cs="Times New Roman"/>
        </w:rPr>
        <w:t xml:space="preserve">, O.C., Obi, C. and </w:t>
      </w:r>
      <w:proofErr w:type="spellStart"/>
      <w:r w:rsidRPr="004305D0">
        <w:rPr>
          <w:rFonts w:ascii="Times New Roman" w:hAnsi="Times New Roman" w:cs="Times New Roman"/>
        </w:rPr>
        <w:t>Nworie</w:t>
      </w:r>
      <w:proofErr w:type="spellEnd"/>
      <w:r w:rsidRPr="004305D0">
        <w:rPr>
          <w:rFonts w:ascii="Times New Roman" w:hAnsi="Times New Roman" w:cs="Times New Roman"/>
        </w:rPr>
        <w:t xml:space="preserve">, O., 2020. Microbial contamination of ready-to-eat foods sold in Nigeria: A case study of </w:t>
      </w:r>
      <w:proofErr w:type="spellStart"/>
      <w:r w:rsidRPr="004305D0">
        <w:rPr>
          <w:rFonts w:ascii="Times New Roman" w:hAnsi="Times New Roman" w:cs="Times New Roman"/>
        </w:rPr>
        <w:t>Abacha</w:t>
      </w:r>
      <w:proofErr w:type="spellEnd"/>
      <w:r w:rsidRPr="004305D0">
        <w:rPr>
          <w:rFonts w:ascii="Times New Roman" w:hAnsi="Times New Roman" w:cs="Times New Roman"/>
        </w:rPr>
        <w:t xml:space="preserve">. </w:t>
      </w:r>
      <w:r w:rsidRPr="004305D0">
        <w:rPr>
          <w:rStyle w:val="Emphasis"/>
          <w:rFonts w:ascii="Times New Roman" w:hAnsi="Times New Roman" w:cs="Times New Roman"/>
        </w:rPr>
        <w:t>African Journal of Microbiology Research</w:t>
      </w:r>
      <w:r w:rsidR="008D6473">
        <w:rPr>
          <w:rFonts w:ascii="Times New Roman" w:hAnsi="Times New Roman" w:cs="Times New Roman"/>
        </w:rPr>
        <w:t xml:space="preserve">, 14(9), </w:t>
      </w:r>
      <w:r w:rsidRPr="004305D0">
        <w:rPr>
          <w:rFonts w:ascii="Times New Roman" w:hAnsi="Times New Roman" w:cs="Times New Roman"/>
        </w:rPr>
        <w:t>.456-463.</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Anyanwu</w:t>
      </w:r>
      <w:proofErr w:type="spellEnd"/>
      <w:r w:rsidRPr="004305D0">
        <w:rPr>
          <w:rFonts w:ascii="Times New Roman" w:eastAsia="Times New Roman" w:hAnsi="Times New Roman" w:cs="Times New Roman"/>
        </w:rPr>
        <w:t xml:space="preserve">, B.N., 2014. Health implications of bacterial contamination in ready-to-eat foods sold in Nigeria. </w:t>
      </w:r>
      <w:r w:rsidRPr="004305D0">
        <w:rPr>
          <w:rFonts w:ascii="Times New Roman" w:eastAsia="Times New Roman" w:hAnsi="Times New Roman" w:cs="Times New Roman"/>
          <w:i/>
          <w:iCs/>
        </w:rPr>
        <w:t>Journal of Food Safety and Hygiene</w:t>
      </w:r>
      <w:r w:rsidR="008D6473">
        <w:rPr>
          <w:rFonts w:ascii="Times New Roman" w:eastAsia="Times New Roman" w:hAnsi="Times New Roman" w:cs="Times New Roman"/>
        </w:rPr>
        <w:t xml:space="preserve">, 10(1), </w:t>
      </w:r>
      <w:r w:rsidRPr="004305D0">
        <w:rPr>
          <w:rFonts w:ascii="Times New Roman" w:eastAsia="Times New Roman" w:hAnsi="Times New Roman" w:cs="Times New Roman"/>
        </w:rPr>
        <w:t>45-52</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hAnsi="Times New Roman" w:cs="Times New Roman"/>
        </w:rPr>
      </w:pPr>
      <w:proofErr w:type="spellStart"/>
      <w:r w:rsidRPr="004305D0">
        <w:rPr>
          <w:rFonts w:ascii="Times New Roman" w:hAnsi="Times New Roman" w:cs="Times New Roman"/>
        </w:rPr>
        <w:t>Chukwu</w:t>
      </w:r>
      <w:proofErr w:type="spellEnd"/>
      <w:r w:rsidRPr="004305D0">
        <w:rPr>
          <w:rFonts w:ascii="Times New Roman" w:hAnsi="Times New Roman" w:cs="Times New Roman"/>
        </w:rPr>
        <w:t xml:space="preserve">, O.O.C., </w:t>
      </w:r>
      <w:proofErr w:type="spellStart"/>
      <w:r w:rsidRPr="004305D0">
        <w:rPr>
          <w:rFonts w:ascii="Times New Roman" w:hAnsi="Times New Roman" w:cs="Times New Roman"/>
        </w:rPr>
        <w:t>Eze</w:t>
      </w:r>
      <w:proofErr w:type="spellEnd"/>
      <w:r w:rsidRPr="004305D0">
        <w:rPr>
          <w:rFonts w:ascii="Times New Roman" w:hAnsi="Times New Roman" w:cs="Times New Roman"/>
        </w:rPr>
        <w:t xml:space="preserve">, V.C., and </w:t>
      </w:r>
      <w:proofErr w:type="spellStart"/>
      <w:r w:rsidRPr="004305D0">
        <w:rPr>
          <w:rFonts w:ascii="Times New Roman" w:hAnsi="Times New Roman" w:cs="Times New Roman"/>
        </w:rPr>
        <w:t>Igwe</w:t>
      </w:r>
      <w:proofErr w:type="spellEnd"/>
      <w:r w:rsidRPr="004305D0">
        <w:rPr>
          <w:rFonts w:ascii="Times New Roman" w:hAnsi="Times New Roman" w:cs="Times New Roman"/>
        </w:rPr>
        <w:t xml:space="preserve">, U., 2015. Bacterial contamination of locally prepared condiments and spices in Enugu Metropolis. </w:t>
      </w:r>
      <w:r w:rsidRPr="004305D0">
        <w:rPr>
          <w:rStyle w:val="Emphasis"/>
          <w:rFonts w:ascii="Times New Roman" w:hAnsi="Times New Roman" w:cs="Times New Roman"/>
        </w:rPr>
        <w:t>African Journal of Food Science</w:t>
      </w:r>
      <w:r w:rsidR="008D6473">
        <w:rPr>
          <w:rFonts w:ascii="Times New Roman" w:hAnsi="Times New Roman" w:cs="Times New Roman"/>
        </w:rPr>
        <w:t xml:space="preserve">, 9(4), </w:t>
      </w:r>
      <w:r w:rsidRPr="004305D0">
        <w:rPr>
          <w:rFonts w:ascii="Times New Roman" w:hAnsi="Times New Roman" w:cs="Times New Roman"/>
        </w:rPr>
        <w:t>120-126.</w:t>
      </w:r>
    </w:p>
    <w:p w:rsidR="004305D0" w:rsidRPr="004305D0" w:rsidRDefault="004305D0" w:rsidP="004305D0">
      <w:pPr>
        <w:spacing w:after="0"/>
        <w:ind w:left="720" w:hanging="810"/>
        <w:jc w:val="both"/>
        <w:rPr>
          <w:rFonts w:ascii="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hAnsi="Times New Roman" w:cs="Times New Roman"/>
        </w:rPr>
        <w:lastRenderedPageBreak/>
        <w:t>Eze</w:t>
      </w:r>
      <w:proofErr w:type="spellEnd"/>
      <w:r w:rsidRPr="004305D0">
        <w:rPr>
          <w:rFonts w:ascii="Times New Roman" w:hAnsi="Times New Roman" w:cs="Times New Roman"/>
        </w:rPr>
        <w:t xml:space="preserve">, V.C. and </w:t>
      </w:r>
      <w:proofErr w:type="spellStart"/>
      <w:r w:rsidRPr="004305D0">
        <w:rPr>
          <w:rFonts w:ascii="Times New Roman" w:hAnsi="Times New Roman" w:cs="Times New Roman"/>
        </w:rPr>
        <w:t>Ivuoma</w:t>
      </w:r>
      <w:proofErr w:type="spellEnd"/>
      <w:r w:rsidRPr="004305D0">
        <w:rPr>
          <w:rFonts w:ascii="Times New Roman" w:hAnsi="Times New Roman" w:cs="Times New Roman"/>
        </w:rPr>
        <w:t xml:space="preserve">, N., 2016. Evaluation of microbial quality of fresh meats sold in Abattoirs in South-Eastern Nigeria. </w:t>
      </w:r>
      <w:r w:rsidRPr="004305D0">
        <w:rPr>
          <w:rStyle w:val="Emphasis"/>
          <w:rFonts w:ascii="Times New Roman" w:hAnsi="Times New Roman" w:cs="Times New Roman"/>
        </w:rPr>
        <w:t>Journal of Food Microbiology</w:t>
      </w:r>
      <w:r w:rsidR="008D6473">
        <w:rPr>
          <w:rFonts w:ascii="Times New Roman" w:hAnsi="Times New Roman" w:cs="Times New Roman"/>
        </w:rPr>
        <w:t xml:space="preserve">, 8(3), </w:t>
      </w:r>
      <w:r w:rsidRPr="004305D0">
        <w:rPr>
          <w:rFonts w:ascii="Times New Roman" w:hAnsi="Times New Roman" w:cs="Times New Roman"/>
        </w:rPr>
        <w:t>.32-39.</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Eziuzo</w:t>
      </w:r>
      <w:proofErr w:type="spellEnd"/>
      <w:r w:rsidRPr="004305D0">
        <w:rPr>
          <w:rFonts w:ascii="Times New Roman" w:eastAsia="Times New Roman" w:hAnsi="Times New Roman" w:cs="Times New Roman"/>
        </w:rPr>
        <w:t xml:space="preserve">, N.C., and </w:t>
      </w:r>
      <w:proofErr w:type="spellStart"/>
      <w:r w:rsidRPr="004305D0">
        <w:rPr>
          <w:rFonts w:ascii="Times New Roman" w:eastAsia="Times New Roman" w:hAnsi="Times New Roman" w:cs="Times New Roman"/>
        </w:rPr>
        <w:t>Mbachu</w:t>
      </w:r>
      <w:proofErr w:type="spellEnd"/>
      <w:r w:rsidRPr="004305D0">
        <w:rPr>
          <w:rFonts w:ascii="Times New Roman" w:eastAsia="Times New Roman" w:hAnsi="Times New Roman" w:cs="Times New Roman"/>
        </w:rPr>
        <w:t xml:space="preserve">, J.C., 2021. Risk assessment of bacterial load in street foods: A case study of </w:t>
      </w:r>
      <w:proofErr w:type="spellStart"/>
      <w:r w:rsidRPr="004305D0">
        <w:rPr>
          <w:rFonts w:ascii="Times New Roman" w:eastAsia="Times New Roman" w:hAnsi="Times New Roman" w:cs="Times New Roman"/>
        </w:rPr>
        <w:t>Abacha</w:t>
      </w:r>
      <w:proofErr w:type="spellEnd"/>
      <w:r w:rsidRPr="004305D0">
        <w:rPr>
          <w:rFonts w:ascii="Times New Roman" w:eastAsia="Times New Roman" w:hAnsi="Times New Roman" w:cs="Times New Roman"/>
        </w:rPr>
        <w:t xml:space="preserve"> in Enugu State. </w:t>
      </w:r>
      <w:r w:rsidRPr="004305D0">
        <w:rPr>
          <w:rFonts w:ascii="Times New Roman" w:eastAsia="Times New Roman" w:hAnsi="Times New Roman" w:cs="Times New Roman"/>
          <w:i/>
          <w:iCs/>
        </w:rPr>
        <w:t>Nigerian Journal of Microbial Studies,</w:t>
      </w:r>
      <w:r w:rsidR="008D6473">
        <w:rPr>
          <w:rFonts w:ascii="Times New Roman" w:eastAsia="Times New Roman" w:hAnsi="Times New Roman" w:cs="Times New Roman"/>
        </w:rPr>
        <w:t xml:space="preserve"> 10(1), </w:t>
      </w:r>
      <w:r w:rsidRPr="004305D0">
        <w:rPr>
          <w:rFonts w:ascii="Times New Roman" w:eastAsia="Times New Roman" w:hAnsi="Times New Roman" w:cs="Times New Roman"/>
        </w:rPr>
        <w:t>34-40</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hAnsi="Times New Roman" w:cs="Times New Roman"/>
        </w:rPr>
      </w:pPr>
      <w:r w:rsidRPr="004305D0">
        <w:rPr>
          <w:rFonts w:ascii="Times New Roman" w:hAnsi="Times New Roman" w:cs="Times New Roman"/>
        </w:rPr>
        <w:t xml:space="preserve">Food and Agriculture Organization (FAO), 2020. </w:t>
      </w:r>
      <w:r w:rsidRPr="004305D0">
        <w:rPr>
          <w:rStyle w:val="Emphasis"/>
          <w:rFonts w:ascii="Times New Roman" w:hAnsi="Times New Roman" w:cs="Times New Roman"/>
        </w:rPr>
        <w:t xml:space="preserve">Street food in urban Africa: safety and nutritional </w:t>
      </w:r>
      <w:proofErr w:type="spellStart"/>
      <w:r w:rsidRPr="004305D0">
        <w:rPr>
          <w:rStyle w:val="Emphasis"/>
          <w:rFonts w:ascii="Times New Roman" w:hAnsi="Times New Roman" w:cs="Times New Roman"/>
        </w:rPr>
        <w:t>value</w:t>
      </w:r>
      <w:r w:rsidRPr="004305D0">
        <w:rPr>
          <w:rFonts w:ascii="Times New Roman" w:hAnsi="Times New Roman" w:cs="Times New Roman"/>
        </w:rPr>
        <w:t>.</w:t>
      </w:r>
      <w:proofErr w:type="spellEnd"/>
    </w:p>
    <w:p w:rsidR="004305D0" w:rsidRPr="004305D0" w:rsidRDefault="004305D0" w:rsidP="004305D0">
      <w:pPr>
        <w:spacing w:after="0"/>
        <w:ind w:left="720" w:hanging="810"/>
        <w:jc w:val="both"/>
        <w:rPr>
          <w:rFonts w:ascii="Times New Roman" w:hAnsi="Times New Roman" w:cs="Times New Roman"/>
        </w:rPr>
      </w:pPr>
    </w:p>
    <w:p w:rsidR="004305D0" w:rsidRPr="004305D0" w:rsidRDefault="004305D0" w:rsidP="004305D0">
      <w:pPr>
        <w:spacing w:after="0"/>
        <w:ind w:left="720" w:hanging="810"/>
        <w:jc w:val="both"/>
        <w:rPr>
          <w:rFonts w:ascii="Times New Roman" w:hAnsi="Times New Roman" w:cs="Times New Roman"/>
        </w:rPr>
      </w:pPr>
      <w:proofErr w:type="spellStart"/>
      <w:r w:rsidRPr="004305D0">
        <w:rPr>
          <w:rFonts w:ascii="Times New Roman" w:hAnsi="Times New Roman" w:cs="Times New Roman"/>
        </w:rPr>
        <w:t>Igbinosa</w:t>
      </w:r>
      <w:proofErr w:type="spellEnd"/>
      <w:r w:rsidRPr="004305D0">
        <w:rPr>
          <w:rFonts w:ascii="Times New Roman" w:hAnsi="Times New Roman" w:cs="Times New Roman"/>
        </w:rPr>
        <w:t xml:space="preserve">, E.O. and </w:t>
      </w:r>
      <w:proofErr w:type="spellStart"/>
      <w:r w:rsidRPr="004305D0">
        <w:rPr>
          <w:rFonts w:ascii="Times New Roman" w:hAnsi="Times New Roman" w:cs="Times New Roman"/>
        </w:rPr>
        <w:t>Okoh</w:t>
      </w:r>
      <w:proofErr w:type="spellEnd"/>
      <w:r w:rsidRPr="004305D0">
        <w:rPr>
          <w:rFonts w:ascii="Times New Roman" w:hAnsi="Times New Roman" w:cs="Times New Roman"/>
        </w:rPr>
        <w:t xml:space="preserve">, A.I., 2013. Emerging Vibrio species: potential health implications for urban communities. </w:t>
      </w:r>
      <w:r w:rsidRPr="004305D0">
        <w:rPr>
          <w:rStyle w:val="Emphasis"/>
          <w:rFonts w:ascii="Times New Roman" w:hAnsi="Times New Roman" w:cs="Times New Roman"/>
        </w:rPr>
        <w:t>Research in Microbiology</w:t>
      </w:r>
      <w:r w:rsidR="008D6473">
        <w:rPr>
          <w:rFonts w:ascii="Times New Roman" w:hAnsi="Times New Roman" w:cs="Times New Roman"/>
        </w:rPr>
        <w:t xml:space="preserve">, 164(2), </w:t>
      </w:r>
      <w:r w:rsidRPr="004305D0">
        <w:rPr>
          <w:rFonts w:ascii="Times New Roman" w:hAnsi="Times New Roman" w:cs="Times New Roman"/>
        </w:rPr>
        <w:t>156-164.</w:t>
      </w:r>
    </w:p>
    <w:p w:rsidR="004305D0" w:rsidRPr="004305D0" w:rsidRDefault="004305D0" w:rsidP="004305D0">
      <w:pPr>
        <w:spacing w:after="0"/>
        <w:ind w:left="720" w:hanging="810"/>
        <w:jc w:val="both"/>
        <w:rPr>
          <w:rFonts w:ascii="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hAnsi="Times New Roman" w:cs="Times New Roman"/>
        </w:rPr>
        <w:t>Iheanacho</w:t>
      </w:r>
      <w:proofErr w:type="spellEnd"/>
      <w:r w:rsidRPr="004305D0">
        <w:rPr>
          <w:rFonts w:ascii="Times New Roman" w:hAnsi="Times New Roman" w:cs="Times New Roman"/>
        </w:rPr>
        <w:t xml:space="preserve">, C.C. and Obi, U.C., 2021. Assessment of bacterial contamination and antibiotic resistance in street-vended foods in Enugu, Nigeria. </w:t>
      </w:r>
      <w:r w:rsidRPr="004305D0">
        <w:rPr>
          <w:rStyle w:val="Emphasis"/>
          <w:rFonts w:ascii="Times New Roman" w:hAnsi="Times New Roman" w:cs="Times New Roman"/>
        </w:rPr>
        <w:t>International Journal of Food Microbiology</w:t>
      </w:r>
      <w:r w:rsidR="008D6473">
        <w:rPr>
          <w:rFonts w:ascii="Times New Roman" w:hAnsi="Times New Roman" w:cs="Times New Roman"/>
        </w:rPr>
        <w:t xml:space="preserve">, 312, </w:t>
      </w:r>
      <w:r w:rsidRPr="004305D0">
        <w:rPr>
          <w:rFonts w:ascii="Times New Roman" w:hAnsi="Times New Roman" w:cs="Times New Roman"/>
        </w:rPr>
        <w:t>108396.</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Nnadi</w:t>
      </w:r>
      <w:proofErr w:type="spellEnd"/>
      <w:r w:rsidRPr="004305D0">
        <w:rPr>
          <w:rFonts w:ascii="Times New Roman" w:eastAsia="Times New Roman" w:hAnsi="Times New Roman" w:cs="Times New Roman"/>
        </w:rPr>
        <w:t xml:space="preserve">, O.C., and </w:t>
      </w:r>
      <w:proofErr w:type="spellStart"/>
      <w:r w:rsidRPr="004305D0">
        <w:rPr>
          <w:rFonts w:ascii="Times New Roman" w:eastAsia="Times New Roman" w:hAnsi="Times New Roman" w:cs="Times New Roman"/>
        </w:rPr>
        <w:t>Ezemba</w:t>
      </w:r>
      <w:proofErr w:type="spellEnd"/>
      <w:r w:rsidRPr="004305D0">
        <w:rPr>
          <w:rFonts w:ascii="Times New Roman" w:eastAsia="Times New Roman" w:hAnsi="Times New Roman" w:cs="Times New Roman"/>
        </w:rPr>
        <w:t xml:space="preserve">, I.N., 2023. Influence of vendor training on microbiological safety of African salad sold in Nigeria. </w:t>
      </w:r>
      <w:r w:rsidRPr="004305D0">
        <w:rPr>
          <w:rFonts w:ascii="Times New Roman" w:eastAsia="Times New Roman" w:hAnsi="Times New Roman" w:cs="Times New Roman"/>
          <w:i/>
          <w:iCs/>
        </w:rPr>
        <w:t>Journal of Foodborne Pathogens and Public Health,</w:t>
      </w:r>
      <w:r w:rsidR="008D6473">
        <w:rPr>
          <w:rFonts w:ascii="Times New Roman" w:eastAsia="Times New Roman" w:hAnsi="Times New Roman" w:cs="Times New Roman"/>
        </w:rPr>
        <w:t xml:space="preserve"> 18(3), </w:t>
      </w:r>
      <w:r w:rsidRPr="004305D0">
        <w:rPr>
          <w:rFonts w:ascii="Times New Roman" w:eastAsia="Times New Roman" w:hAnsi="Times New Roman" w:cs="Times New Roman"/>
        </w:rPr>
        <w:t>.145-157.</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hAnsi="Times New Roman" w:cs="Times New Roman"/>
        </w:rPr>
        <w:t>Nwachukwu</w:t>
      </w:r>
      <w:proofErr w:type="spellEnd"/>
      <w:r w:rsidRPr="004305D0">
        <w:rPr>
          <w:rFonts w:ascii="Times New Roman" w:hAnsi="Times New Roman" w:cs="Times New Roman"/>
        </w:rPr>
        <w:t xml:space="preserve">, E., Orji, F.A., and </w:t>
      </w:r>
      <w:proofErr w:type="spellStart"/>
      <w:r w:rsidRPr="004305D0">
        <w:rPr>
          <w:rFonts w:ascii="Times New Roman" w:hAnsi="Times New Roman" w:cs="Times New Roman"/>
        </w:rPr>
        <w:t>Ijioma</w:t>
      </w:r>
      <w:proofErr w:type="spellEnd"/>
      <w:r w:rsidRPr="004305D0">
        <w:rPr>
          <w:rFonts w:ascii="Times New Roman" w:hAnsi="Times New Roman" w:cs="Times New Roman"/>
        </w:rPr>
        <w:t xml:space="preserve">, F., 2015. Safety assessment of ready-to-eat foods (RTE) sold in </w:t>
      </w:r>
      <w:proofErr w:type="spellStart"/>
      <w:r w:rsidRPr="004305D0">
        <w:rPr>
          <w:rFonts w:ascii="Times New Roman" w:hAnsi="Times New Roman" w:cs="Times New Roman"/>
        </w:rPr>
        <w:t>Umuahia</w:t>
      </w:r>
      <w:proofErr w:type="spellEnd"/>
      <w:r w:rsidRPr="004305D0">
        <w:rPr>
          <w:rFonts w:ascii="Times New Roman" w:hAnsi="Times New Roman" w:cs="Times New Roman"/>
        </w:rPr>
        <w:t xml:space="preserve"> Metropolis, </w:t>
      </w:r>
      <w:proofErr w:type="spellStart"/>
      <w:r w:rsidRPr="004305D0">
        <w:rPr>
          <w:rFonts w:ascii="Times New Roman" w:hAnsi="Times New Roman" w:cs="Times New Roman"/>
        </w:rPr>
        <w:t>Abia</w:t>
      </w:r>
      <w:proofErr w:type="spellEnd"/>
      <w:r w:rsidRPr="004305D0">
        <w:rPr>
          <w:rFonts w:ascii="Times New Roman" w:hAnsi="Times New Roman" w:cs="Times New Roman"/>
        </w:rPr>
        <w:t xml:space="preserve"> State, Nigeria. </w:t>
      </w:r>
      <w:r w:rsidRPr="004305D0">
        <w:rPr>
          <w:rStyle w:val="Emphasis"/>
          <w:rFonts w:ascii="Times New Roman" w:hAnsi="Times New Roman" w:cs="Times New Roman"/>
        </w:rPr>
        <w:t>Nigerian Journal of Microbiology</w:t>
      </w:r>
      <w:r w:rsidR="008D6473">
        <w:rPr>
          <w:rFonts w:ascii="Times New Roman" w:hAnsi="Times New Roman" w:cs="Times New Roman"/>
        </w:rPr>
        <w:t xml:space="preserve">, 29(2), </w:t>
      </w:r>
      <w:r w:rsidRPr="004305D0">
        <w:rPr>
          <w:rFonts w:ascii="Times New Roman" w:hAnsi="Times New Roman" w:cs="Times New Roman"/>
        </w:rPr>
        <w:t>1230-1235.</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Ogunsanya</w:t>
      </w:r>
      <w:proofErr w:type="spellEnd"/>
      <w:r w:rsidRPr="004305D0">
        <w:rPr>
          <w:rFonts w:ascii="Times New Roman" w:eastAsia="Times New Roman" w:hAnsi="Times New Roman" w:cs="Times New Roman"/>
        </w:rPr>
        <w:t xml:space="preserve">, C., and </w:t>
      </w:r>
      <w:proofErr w:type="spellStart"/>
      <w:r w:rsidRPr="004305D0">
        <w:rPr>
          <w:rFonts w:ascii="Times New Roman" w:eastAsia="Times New Roman" w:hAnsi="Times New Roman" w:cs="Times New Roman"/>
        </w:rPr>
        <w:t>Okoro</w:t>
      </w:r>
      <w:proofErr w:type="spellEnd"/>
      <w:r w:rsidRPr="004305D0">
        <w:rPr>
          <w:rFonts w:ascii="Times New Roman" w:eastAsia="Times New Roman" w:hAnsi="Times New Roman" w:cs="Times New Roman"/>
        </w:rPr>
        <w:t xml:space="preserve">, O.E., 2019. Antibiotic resistance in foodborne pathogens isolated from street-vended African salad in Nigeria. </w:t>
      </w:r>
      <w:r w:rsidRPr="004305D0">
        <w:rPr>
          <w:rFonts w:ascii="Times New Roman" w:eastAsia="Times New Roman" w:hAnsi="Times New Roman" w:cs="Times New Roman"/>
          <w:i/>
          <w:iCs/>
        </w:rPr>
        <w:t>Journal of Medical Microbiology Research,</w:t>
      </w:r>
      <w:r w:rsidR="008D6473">
        <w:rPr>
          <w:rFonts w:ascii="Times New Roman" w:eastAsia="Times New Roman" w:hAnsi="Times New Roman" w:cs="Times New Roman"/>
        </w:rPr>
        <w:t xml:space="preserve"> 10(4), </w:t>
      </w:r>
      <w:r w:rsidRPr="004305D0">
        <w:rPr>
          <w:rFonts w:ascii="Times New Roman" w:eastAsia="Times New Roman" w:hAnsi="Times New Roman" w:cs="Times New Roman"/>
        </w:rPr>
        <w:t>260-268.</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Okeke</w:t>
      </w:r>
      <w:proofErr w:type="spellEnd"/>
      <w:r w:rsidRPr="004305D0">
        <w:rPr>
          <w:rFonts w:ascii="Times New Roman" w:eastAsia="Times New Roman" w:hAnsi="Times New Roman" w:cs="Times New Roman"/>
        </w:rPr>
        <w:t xml:space="preserve">, C.O., and </w:t>
      </w:r>
      <w:proofErr w:type="spellStart"/>
      <w:r w:rsidRPr="004305D0">
        <w:rPr>
          <w:rFonts w:ascii="Times New Roman" w:eastAsia="Times New Roman" w:hAnsi="Times New Roman" w:cs="Times New Roman"/>
        </w:rPr>
        <w:t>Lamikanra</w:t>
      </w:r>
      <w:proofErr w:type="spellEnd"/>
      <w:r w:rsidRPr="004305D0">
        <w:rPr>
          <w:rFonts w:ascii="Times New Roman" w:eastAsia="Times New Roman" w:hAnsi="Times New Roman" w:cs="Times New Roman"/>
        </w:rPr>
        <w:t xml:space="preserve">, A.O., 2018. Foodborne illnesses associated with bacterial contamination in urban Nigeria. </w:t>
      </w:r>
      <w:r w:rsidRPr="004305D0">
        <w:rPr>
          <w:rFonts w:ascii="Times New Roman" w:eastAsia="Times New Roman" w:hAnsi="Times New Roman" w:cs="Times New Roman"/>
          <w:i/>
          <w:iCs/>
        </w:rPr>
        <w:t>International Journal of Food Microbiology,</w:t>
      </w:r>
      <w:r w:rsidR="008D6473">
        <w:rPr>
          <w:rFonts w:ascii="Times New Roman" w:eastAsia="Times New Roman" w:hAnsi="Times New Roman" w:cs="Times New Roman"/>
        </w:rPr>
        <w:t xml:space="preserve"> 265, </w:t>
      </w:r>
      <w:r w:rsidRPr="004305D0">
        <w:rPr>
          <w:rFonts w:ascii="Times New Roman" w:eastAsia="Times New Roman" w:hAnsi="Times New Roman" w:cs="Times New Roman"/>
        </w:rPr>
        <w:t>12-19</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hAnsi="Times New Roman" w:cs="Times New Roman"/>
        </w:rPr>
        <w:t>Oluwafemi</w:t>
      </w:r>
      <w:proofErr w:type="spellEnd"/>
      <w:r w:rsidRPr="004305D0">
        <w:rPr>
          <w:rFonts w:ascii="Times New Roman" w:hAnsi="Times New Roman" w:cs="Times New Roman"/>
        </w:rPr>
        <w:t xml:space="preserve">, F. and </w:t>
      </w:r>
      <w:proofErr w:type="spellStart"/>
      <w:r w:rsidRPr="004305D0">
        <w:rPr>
          <w:rFonts w:ascii="Times New Roman" w:hAnsi="Times New Roman" w:cs="Times New Roman"/>
        </w:rPr>
        <w:t>Oluwaseun</w:t>
      </w:r>
      <w:proofErr w:type="spellEnd"/>
      <w:r w:rsidRPr="004305D0">
        <w:rPr>
          <w:rFonts w:ascii="Times New Roman" w:hAnsi="Times New Roman" w:cs="Times New Roman"/>
        </w:rPr>
        <w:t xml:space="preserve">, M.T., 2014. Microbial contamination and antibiotic resistance in drinking water sachets in South-Western Nigeria. </w:t>
      </w:r>
      <w:r w:rsidRPr="004305D0">
        <w:rPr>
          <w:rStyle w:val="Emphasis"/>
          <w:rFonts w:ascii="Times New Roman" w:hAnsi="Times New Roman" w:cs="Times New Roman"/>
        </w:rPr>
        <w:t>Journal of Applied Microbiology and Biotechnology</w:t>
      </w:r>
      <w:r w:rsidR="008D6473">
        <w:rPr>
          <w:rFonts w:ascii="Times New Roman" w:hAnsi="Times New Roman" w:cs="Times New Roman"/>
        </w:rPr>
        <w:t xml:space="preserve">, 5(3), </w:t>
      </w:r>
      <w:r w:rsidRPr="004305D0">
        <w:rPr>
          <w:rFonts w:ascii="Times New Roman" w:hAnsi="Times New Roman" w:cs="Times New Roman"/>
        </w:rPr>
        <w:t>78-83.</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proofErr w:type="spellStart"/>
      <w:r w:rsidRPr="004305D0">
        <w:rPr>
          <w:rFonts w:ascii="Times New Roman" w:eastAsia="Times New Roman" w:hAnsi="Times New Roman" w:cs="Times New Roman"/>
        </w:rPr>
        <w:t>Omotayo</w:t>
      </w:r>
      <w:proofErr w:type="spellEnd"/>
      <w:r w:rsidRPr="004305D0">
        <w:rPr>
          <w:rFonts w:ascii="Times New Roman" w:eastAsia="Times New Roman" w:hAnsi="Times New Roman" w:cs="Times New Roman"/>
        </w:rPr>
        <w:t xml:space="preserve">, R., and </w:t>
      </w:r>
      <w:proofErr w:type="spellStart"/>
      <w:r w:rsidRPr="004305D0">
        <w:rPr>
          <w:rFonts w:ascii="Times New Roman" w:eastAsia="Times New Roman" w:hAnsi="Times New Roman" w:cs="Times New Roman"/>
        </w:rPr>
        <w:t>Omole</w:t>
      </w:r>
      <w:proofErr w:type="spellEnd"/>
      <w:r w:rsidRPr="004305D0">
        <w:rPr>
          <w:rFonts w:ascii="Times New Roman" w:eastAsia="Times New Roman" w:hAnsi="Times New Roman" w:cs="Times New Roman"/>
        </w:rPr>
        <w:t xml:space="preserve">, B., 2021. Street food contamination and its health risks in Nigerian urban centers. </w:t>
      </w:r>
      <w:r w:rsidRPr="004305D0">
        <w:rPr>
          <w:rFonts w:ascii="Times New Roman" w:eastAsia="Times New Roman" w:hAnsi="Times New Roman" w:cs="Times New Roman"/>
          <w:i/>
          <w:iCs/>
        </w:rPr>
        <w:t>Global Food Hygiene Research Journal,</w:t>
      </w:r>
      <w:r w:rsidR="008D6473">
        <w:rPr>
          <w:rFonts w:ascii="Times New Roman" w:eastAsia="Times New Roman" w:hAnsi="Times New Roman" w:cs="Times New Roman"/>
        </w:rPr>
        <w:t xml:space="preserve"> 5(1), </w:t>
      </w:r>
      <w:r w:rsidRPr="004305D0">
        <w:rPr>
          <w:rFonts w:ascii="Times New Roman" w:eastAsia="Times New Roman" w:hAnsi="Times New Roman" w:cs="Times New Roman"/>
        </w:rPr>
        <w:t>89-98</w:t>
      </w:r>
    </w:p>
    <w:p w:rsidR="004305D0" w:rsidRPr="004305D0" w:rsidRDefault="004305D0" w:rsidP="004305D0">
      <w:pPr>
        <w:spacing w:after="0"/>
        <w:ind w:left="720" w:hanging="810"/>
        <w:jc w:val="both"/>
        <w:rPr>
          <w:rFonts w:ascii="Times New Roman" w:eastAsia="Times New Roman" w:hAnsi="Times New Roman" w:cs="Times New Roman"/>
        </w:rPr>
      </w:pPr>
    </w:p>
    <w:p w:rsidR="004305D0" w:rsidRPr="004305D0" w:rsidRDefault="004305D0" w:rsidP="004305D0">
      <w:pPr>
        <w:spacing w:after="0"/>
        <w:ind w:left="720" w:hanging="810"/>
        <w:jc w:val="both"/>
        <w:rPr>
          <w:rFonts w:ascii="Times New Roman" w:hAnsi="Times New Roman" w:cs="Times New Roman"/>
        </w:rPr>
      </w:pPr>
      <w:proofErr w:type="spellStart"/>
      <w:r w:rsidRPr="004305D0">
        <w:rPr>
          <w:rFonts w:ascii="Times New Roman" w:hAnsi="Times New Roman" w:cs="Times New Roman"/>
        </w:rPr>
        <w:t>Oranusi</w:t>
      </w:r>
      <w:proofErr w:type="spellEnd"/>
      <w:r w:rsidRPr="004305D0">
        <w:rPr>
          <w:rFonts w:ascii="Times New Roman" w:hAnsi="Times New Roman" w:cs="Times New Roman"/>
        </w:rPr>
        <w:t xml:space="preserve">, U., </w:t>
      </w:r>
      <w:proofErr w:type="spellStart"/>
      <w:r w:rsidRPr="004305D0">
        <w:rPr>
          <w:rFonts w:ascii="Times New Roman" w:hAnsi="Times New Roman" w:cs="Times New Roman"/>
        </w:rPr>
        <w:t>Braide</w:t>
      </w:r>
      <w:proofErr w:type="spellEnd"/>
      <w:r w:rsidRPr="004305D0">
        <w:rPr>
          <w:rFonts w:ascii="Times New Roman" w:hAnsi="Times New Roman" w:cs="Times New Roman"/>
        </w:rPr>
        <w:t xml:space="preserve">, W. and </w:t>
      </w:r>
      <w:proofErr w:type="spellStart"/>
      <w:r w:rsidRPr="004305D0">
        <w:rPr>
          <w:rFonts w:ascii="Times New Roman" w:hAnsi="Times New Roman" w:cs="Times New Roman"/>
        </w:rPr>
        <w:t>Esiobu</w:t>
      </w:r>
      <w:proofErr w:type="spellEnd"/>
      <w:r w:rsidRPr="004305D0">
        <w:rPr>
          <w:rFonts w:ascii="Times New Roman" w:hAnsi="Times New Roman" w:cs="Times New Roman"/>
        </w:rPr>
        <w:t xml:space="preserve">, N., 2013. Microbiological and chemical quality assessment of some commercially packed fruit juices sold in Nigeria. </w:t>
      </w:r>
      <w:r w:rsidRPr="004305D0">
        <w:rPr>
          <w:rStyle w:val="Emphasis"/>
          <w:rFonts w:ascii="Times New Roman" w:hAnsi="Times New Roman" w:cs="Times New Roman"/>
        </w:rPr>
        <w:t>Nigerian Journal of Microbiology</w:t>
      </w:r>
      <w:r w:rsidR="008D6473">
        <w:rPr>
          <w:rFonts w:ascii="Times New Roman" w:hAnsi="Times New Roman" w:cs="Times New Roman"/>
        </w:rPr>
        <w:t xml:space="preserve">, 27(1), </w:t>
      </w:r>
      <w:r w:rsidRPr="004305D0">
        <w:rPr>
          <w:rFonts w:ascii="Times New Roman" w:hAnsi="Times New Roman" w:cs="Times New Roman"/>
        </w:rPr>
        <w:t>2767-2775.</w:t>
      </w:r>
    </w:p>
    <w:p w:rsidR="004305D0" w:rsidRPr="004305D0" w:rsidRDefault="004305D0" w:rsidP="004305D0">
      <w:pPr>
        <w:spacing w:after="0"/>
        <w:ind w:left="720" w:hanging="810"/>
        <w:jc w:val="both"/>
        <w:rPr>
          <w:rFonts w:ascii="Times New Roman" w:hAnsi="Times New Roman" w:cs="Times New Roman"/>
        </w:rPr>
      </w:pPr>
    </w:p>
    <w:p w:rsidR="004305D0" w:rsidRPr="004305D0" w:rsidRDefault="004305D0" w:rsidP="004305D0">
      <w:pPr>
        <w:spacing w:after="0"/>
        <w:ind w:left="720" w:hanging="810"/>
        <w:jc w:val="both"/>
        <w:rPr>
          <w:rFonts w:ascii="Times New Roman" w:eastAsia="Times New Roman" w:hAnsi="Times New Roman" w:cs="Times New Roman"/>
        </w:rPr>
      </w:pPr>
      <w:r w:rsidRPr="004305D0">
        <w:rPr>
          <w:rFonts w:ascii="Times New Roman" w:hAnsi="Times New Roman" w:cs="Times New Roman"/>
        </w:rPr>
        <w:t xml:space="preserve">World Health Organization (WHO), 2015. </w:t>
      </w:r>
      <w:r w:rsidRPr="004305D0">
        <w:rPr>
          <w:rStyle w:val="Emphasis"/>
          <w:rFonts w:ascii="Times New Roman" w:hAnsi="Times New Roman" w:cs="Times New Roman"/>
        </w:rPr>
        <w:t>Estimates of the global burden of foodborne diseases: Foodborne Disease Burden Epidemiology Reference Group 2007-2015</w:t>
      </w:r>
      <w:r w:rsidRPr="004305D0">
        <w:rPr>
          <w:rFonts w:ascii="Times New Roman" w:hAnsi="Times New Roman" w:cs="Times New Roman"/>
        </w:rPr>
        <w:t xml:space="preserve">. </w:t>
      </w:r>
    </w:p>
    <w:p w:rsidR="004D1E2A" w:rsidRPr="004305D0" w:rsidRDefault="004D1E2A" w:rsidP="009B5E8B">
      <w:pPr>
        <w:jc w:val="both"/>
        <w:rPr>
          <w:rFonts w:ascii="Times New Roman" w:hAnsi="Times New Roman" w:cs="Times New Roman"/>
          <w:b/>
        </w:rPr>
      </w:pPr>
    </w:p>
    <w:sectPr w:rsidR="004D1E2A" w:rsidRPr="004305D0" w:rsidSect="00D757C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82" w:rsidRDefault="00456B82" w:rsidP="004305D0">
      <w:pPr>
        <w:spacing w:after="0" w:line="240" w:lineRule="auto"/>
      </w:pPr>
      <w:r>
        <w:separator/>
      </w:r>
    </w:p>
  </w:endnote>
  <w:endnote w:type="continuationSeparator" w:id="0">
    <w:p w:rsidR="00456B82" w:rsidRDefault="00456B82" w:rsidP="00430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82" w:rsidRDefault="00456B82" w:rsidP="004305D0">
      <w:pPr>
        <w:spacing w:after="0" w:line="240" w:lineRule="auto"/>
      </w:pPr>
      <w:r>
        <w:separator/>
      </w:r>
    </w:p>
  </w:footnote>
  <w:footnote w:type="continuationSeparator" w:id="0">
    <w:p w:rsidR="00456B82" w:rsidRDefault="00456B82" w:rsidP="00430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5D0" w:rsidRPr="004305D0" w:rsidRDefault="004305D0" w:rsidP="004305D0">
    <w:pPr>
      <w:pStyle w:val="NormalWeb"/>
      <w:spacing w:before="0" w:beforeAutospacing="0" w:after="0" w:afterAutospacing="0" w:line="360" w:lineRule="auto"/>
      <w:jc w:val="both"/>
      <w:rPr>
        <w:rStyle w:val="Strong"/>
        <w:b w:val="0"/>
        <w:sz w:val="20"/>
      </w:rPr>
    </w:pPr>
    <w:r w:rsidRPr="004305D0">
      <w:rPr>
        <w:rStyle w:val="Strong"/>
        <w:b w:val="0"/>
        <w:sz w:val="20"/>
      </w:rPr>
      <w:t xml:space="preserve">Evaluation Of Bacteria Contamination Of African Salad </w:t>
    </w:r>
    <w:r>
      <w:rPr>
        <w:rStyle w:val="Strong"/>
        <w:b w:val="0"/>
        <w:sz w:val="20"/>
      </w:rPr>
      <w:t>(</w:t>
    </w:r>
    <w:proofErr w:type="spellStart"/>
    <w:r>
      <w:rPr>
        <w:rStyle w:val="Strong"/>
        <w:b w:val="0"/>
        <w:sz w:val="20"/>
      </w:rPr>
      <w:t>Abacha</w:t>
    </w:r>
    <w:proofErr w:type="spellEnd"/>
    <w:r>
      <w:rPr>
        <w:rStyle w:val="Strong"/>
        <w:b w:val="0"/>
        <w:sz w:val="20"/>
      </w:rPr>
      <w:t xml:space="preserve">) Sold In Enugu </w:t>
    </w:r>
    <w:r w:rsidRPr="004305D0">
      <w:rPr>
        <w:rStyle w:val="Strong"/>
        <w:b w:val="0"/>
        <w:sz w:val="20"/>
      </w:rPr>
      <w:t>Metropolis</w:t>
    </w:r>
  </w:p>
  <w:p w:rsidR="004305D0" w:rsidRDefault="0043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E63B0"/>
    <w:multiLevelType w:val="hybridMultilevel"/>
    <w:tmpl w:val="5B0076C8"/>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56461"/>
    <w:multiLevelType w:val="hybridMultilevel"/>
    <w:tmpl w:val="2C3A08A6"/>
    <w:lvl w:ilvl="0" w:tplc="AD32FA76">
      <w:start w:val="1"/>
      <w:numFmt w:val="upperRoman"/>
      <w:lvlText w:val="%1."/>
      <w:lvlJc w:val="left"/>
      <w:pPr>
        <w:ind w:left="3720" w:hanging="720"/>
      </w:pPr>
      <w:rPr>
        <w:rFonts w:hint="default"/>
      </w:r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7262"/>
    <w:rsid w:val="002315C6"/>
    <w:rsid w:val="002F2962"/>
    <w:rsid w:val="004305D0"/>
    <w:rsid w:val="00456B82"/>
    <w:rsid w:val="004D1E2A"/>
    <w:rsid w:val="00597F86"/>
    <w:rsid w:val="006A7262"/>
    <w:rsid w:val="007E1AC5"/>
    <w:rsid w:val="008D2394"/>
    <w:rsid w:val="008D6473"/>
    <w:rsid w:val="009B5E8B"/>
    <w:rsid w:val="009F150C"/>
    <w:rsid w:val="00B31964"/>
    <w:rsid w:val="00B74E26"/>
    <w:rsid w:val="00B81896"/>
    <w:rsid w:val="00BC3E53"/>
    <w:rsid w:val="00C83370"/>
    <w:rsid w:val="00D757C5"/>
    <w:rsid w:val="00D97EE9"/>
    <w:rsid w:val="00FE31F0"/>
    <w:rsid w:val="00FE3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27"/>
        <o:r id="V:Rule2" type="connector" idref="#_x0000_s1030"/>
      </o:rules>
    </o:shapelayout>
  </w:shapeDefaults>
  <w:decimalSymbol w:val="."/>
  <w:listSeparator w:val=","/>
  <w15:docId w15:val="{A875D435-5A40-4C18-AA8D-3B0A4004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7262"/>
    <w:rPr>
      <w:b/>
      <w:bCs/>
    </w:rPr>
  </w:style>
  <w:style w:type="paragraph" w:styleId="ListParagraph">
    <w:name w:val="List Paragraph"/>
    <w:basedOn w:val="Normal"/>
    <w:uiPriority w:val="34"/>
    <w:qFormat/>
    <w:rsid w:val="007E1AC5"/>
    <w:pPr>
      <w:ind w:left="720"/>
      <w:contextualSpacing/>
    </w:pPr>
  </w:style>
  <w:style w:type="paragraph" w:styleId="NormalWeb">
    <w:name w:val="Normal (Web)"/>
    <w:basedOn w:val="Normal"/>
    <w:uiPriority w:val="99"/>
    <w:unhideWhenUsed/>
    <w:rsid w:val="007E1A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1E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E2A"/>
    <w:rPr>
      <w:rFonts w:ascii="Tahoma" w:hAnsi="Tahoma" w:cs="Tahoma"/>
      <w:sz w:val="16"/>
      <w:szCs w:val="16"/>
    </w:rPr>
  </w:style>
  <w:style w:type="character" w:styleId="Emphasis">
    <w:name w:val="Emphasis"/>
    <w:basedOn w:val="DefaultParagraphFont"/>
    <w:uiPriority w:val="20"/>
    <w:qFormat/>
    <w:rsid w:val="00B74E26"/>
    <w:rPr>
      <w:i/>
      <w:iCs/>
    </w:rPr>
  </w:style>
  <w:style w:type="paragraph" w:styleId="Header">
    <w:name w:val="header"/>
    <w:basedOn w:val="Normal"/>
    <w:link w:val="HeaderChar"/>
    <w:uiPriority w:val="99"/>
    <w:unhideWhenUsed/>
    <w:rsid w:val="004305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D0"/>
  </w:style>
  <w:style w:type="paragraph" w:styleId="Footer">
    <w:name w:val="footer"/>
    <w:basedOn w:val="Normal"/>
    <w:link w:val="FooterChar"/>
    <w:uiPriority w:val="99"/>
    <w:unhideWhenUsed/>
    <w:rsid w:val="004305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Sheet1!$B$65:$B$67</c:f>
              <c:strCache>
                <c:ptCount val="3"/>
                <c:pt idx="0">
                  <c:v>Staphylococcus aureus</c:v>
                </c:pt>
                <c:pt idx="1">
                  <c:v>Escherichia coli</c:v>
                </c:pt>
                <c:pt idx="2">
                  <c:v>Pseudomonas aeruginosa</c:v>
                </c:pt>
              </c:strCache>
            </c:strRef>
          </c:cat>
          <c:val>
            <c:numRef>
              <c:f>Sheet1!$C$65:$C$67</c:f>
              <c:numCache>
                <c:formatCode>0.00%</c:formatCode>
                <c:ptCount val="3"/>
                <c:pt idx="0" formatCode="0%">
                  <c:v>0.5</c:v>
                </c:pt>
                <c:pt idx="1">
                  <c:v>0.18800000000000044</c:v>
                </c:pt>
                <c:pt idx="2">
                  <c:v>0.31200000000000133</c:v>
                </c:pt>
              </c:numCache>
            </c:numRef>
          </c:val>
          <c:extLst xmlns:c16r2="http://schemas.microsoft.com/office/drawing/2015/06/chart">
            <c:ext xmlns:c16="http://schemas.microsoft.com/office/drawing/2014/chart" uri="{C3380CC4-5D6E-409C-BE32-E72D297353CC}">
              <c16:uniqueId val="{00000000-B958-49C5-8B53-1EC41C258EB7}"/>
            </c:ext>
          </c:extLst>
        </c:ser>
        <c:dLbls>
          <c:showLegendKey val="0"/>
          <c:showVal val="1"/>
          <c:showCatName val="0"/>
          <c:showSerName val="0"/>
          <c:showPercent val="0"/>
          <c:showBubbleSize val="0"/>
        </c:dLbls>
        <c:gapWidth val="219"/>
        <c:overlap val="-27"/>
        <c:axId val="348126080"/>
        <c:axId val="348126472"/>
      </c:barChart>
      <c:catAx>
        <c:axId val="34812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126472"/>
        <c:crosses val="autoZero"/>
        <c:auto val="1"/>
        <c:lblAlgn val="ctr"/>
        <c:lblOffset val="100"/>
        <c:noMultiLvlLbl val="0"/>
      </c:catAx>
      <c:valAx>
        <c:axId val="3481264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12608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Sheet1!$D$84</c:f>
              <c:strCache>
                <c:ptCount val="1"/>
                <c:pt idx="0">
                  <c:v>Bacterial contamination</c:v>
                </c:pt>
              </c:strCache>
            </c:strRef>
          </c:tx>
          <c:spPr>
            <a:pattFill prst="dashHorz">
              <a:fgClr>
                <a:schemeClr val="tx1"/>
              </a:fgClr>
              <a:bgClr>
                <a:schemeClr val="bg1"/>
              </a:bgClr>
            </a:pattFill>
            <a:ln>
              <a:noFill/>
            </a:ln>
            <a:effectLst/>
          </c:spPr>
          <c:invertIfNegative val="0"/>
          <c:dLbls>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Sheet1!$C$85:$C$87</c:f>
              <c:strCache>
                <c:ptCount val="3"/>
                <c:pt idx="0">
                  <c:v>Abakpa </c:v>
                </c:pt>
                <c:pt idx="1">
                  <c:v>Old Park </c:v>
                </c:pt>
                <c:pt idx="2">
                  <c:v>New market </c:v>
                </c:pt>
              </c:strCache>
            </c:strRef>
          </c:cat>
          <c:val>
            <c:numRef>
              <c:f>Sheet1!$D$85:$D$87</c:f>
              <c:numCache>
                <c:formatCode>General</c:formatCode>
                <c:ptCount val="3"/>
                <c:pt idx="0">
                  <c:v>60</c:v>
                </c:pt>
                <c:pt idx="1">
                  <c:v>50</c:v>
                </c:pt>
                <c:pt idx="2">
                  <c:v>50</c:v>
                </c:pt>
              </c:numCache>
            </c:numRef>
          </c:val>
          <c:extLst xmlns:c16r2="http://schemas.microsoft.com/office/drawing/2015/06/chart">
            <c:ext xmlns:c16="http://schemas.microsoft.com/office/drawing/2014/chart" uri="{C3380CC4-5D6E-409C-BE32-E72D297353CC}">
              <c16:uniqueId val="{00000000-25F6-420D-8648-3E440BC1F2D0}"/>
            </c:ext>
          </c:extLst>
        </c:ser>
        <c:ser>
          <c:idx val="1"/>
          <c:order val="1"/>
          <c:tx>
            <c:strRef>
              <c:f>Sheet1!$E$84</c:f>
              <c:strCache>
                <c:ptCount val="1"/>
                <c:pt idx="0">
                  <c:v>Non-bacterial contamination</c:v>
                </c:pt>
              </c:strCache>
            </c:strRef>
          </c:tx>
          <c:spPr>
            <a:pattFill prst="dkDnDiag">
              <a:fgClr>
                <a:schemeClr val="tx1"/>
              </a:fgClr>
              <a:bgClr>
                <a:schemeClr val="bg1"/>
              </a:bgClr>
            </a:patt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Sheet1!$C$85:$C$87</c:f>
              <c:strCache>
                <c:ptCount val="3"/>
                <c:pt idx="0">
                  <c:v>Abakpa </c:v>
                </c:pt>
                <c:pt idx="1">
                  <c:v>Old Park </c:v>
                </c:pt>
                <c:pt idx="2">
                  <c:v>New market </c:v>
                </c:pt>
              </c:strCache>
            </c:strRef>
          </c:cat>
          <c:val>
            <c:numRef>
              <c:f>Sheet1!$E$85:$E$87</c:f>
              <c:numCache>
                <c:formatCode>General</c:formatCode>
                <c:ptCount val="3"/>
                <c:pt idx="0">
                  <c:v>40</c:v>
                </c:pt>
                <c:pt idx="1">
                  <c:v>50</c:v>
                </c:pt>
                <c:pt idx="2">
                  <c:v>50</c:v>
                </c:pt>
              </c:numCache>
            </c:numRef>
          </c:val>
          <c:extLst xmlns:c16r2="http://schemas.microsoft.com/office/drawing/2015/06/chart">
            <c:ext xmlns:c16="http://schemas.microsoft.com/office/drawing/2014/chart" uri="{C3380CC4-5D6E-409C-BE32-E72D297353CC}">
              <c16:uniqueId val="{00000001-25F6-420D-8648-3E440BC1F2D0}"/>
            </c:ext>
          </c:extLst>
        </c:ser>
        <c:dLbls>
          <c:showLegendKey val="0"/>
          <c:showVal val="1"/>
          <c:showCatName val="0"/>
          <c:showSerName val="0"/>
          <c:showPercent val="0"/>
          <c:showBubbleSize val="0"/>
        </c:dLbls>
        <c:gapWidth val="150"/>
        <c:overlap val="100"/>
        <c:axId val="348120592"/>
        <c:axId val="234513656"/>
      </c:barChart>
      <c:catAx>
        <c:axId val="34812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3656"/>
        <c:crosses val="autoZero"/>
        <c:auto val="1"/>
        <c:lblAlgn val="ctr"/>
        <c:lblOffset val="100"/>
        <c:noMultiLvlLbl val="0"/>
      </c:catAx>
      <c:valAx>
        <c:axId val="2345136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120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i="1"/>
              <a:t>Staphylococcus aureus</a:t>
            </a:r>
          </a:p>
        </c:rich>
      </c:tx>
      <c:overlay val="0"/>
      <c:spPr>
        <a:noFill/>
        <a:ln>
          <a:noFill/>
        </a:ln>
        <a:effectLst/>
      </c:spPr>
    </c:title>
    <c:autoTitleDeleted val="0"/>
    <c:plotArea>
      <c:layout/>
      <c:barChart>
        <c:barDir val="col"/>
        <c:grouping val="percentStacked"/>
        <c:varyColors val="0"/>
        <c:ser>
          <c:idx val="0"/>
          <c:order val="0"/>
          <c:tx>
            <c:strRef>
              <c:f>Sheet1!$D$105</c:f>
              <c:strCache>
                <c:ptCount val="1"/>
                <c:pt idx="0">
                  <c:v>Sensitive</c:v>
                </c:pt>
              </c:strCache>
            </c:strRef>
          </c:tx>
          <c:spPr>
            <a:pattFill prst="pct20">
              <a:fgClr>
                <a:schemeClr val="tx1"/>
              </a:fgClr>
              <a:bgClr>
                <a:schemeClr val="bg1"/>
              </a:bgClr>
            </a:pattFill>
            <a:ln>
              <a:noFill/>
            </a:ln>
            <a:effectLst/>
          </c:spPr>
          <c:invertIfNegative val="0"/>
          <c:dLbls>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Sheet1!$C$106:$C$111</c:f>
              <c:strCache>
                <c:ptCount val="6"/>
                <c:pt idx="0">
                  <c:v>Gentamicin</c:v>
                </c:pt>
                <c:pt idx="1">
                  <c:v>Cloxacillin</c:v>
                </c:pt>
                <c:pt idx="2">
                  <c:v>Ceftriaxone</c:v>
                </c:pt>
                <c:pt idx="3">
                  <c:v>Ciprofloxacin</c:v>
                </c:pt>
                <c:pt idx="4">
                  <c:v>Ampicillin</c:v>
                </c:pt>
                <c:pt idx="5">
                  <c:v>Tetracycline</c:v>
                </c:pt>
              </c:strCache>
            </c:strRef>
          </c:cat>
          <c:val>
            <c:numRef>
              <c:f>Sheet1!$D$106:$D$111</c:f>
              <c:numCache>
                <c:formatCode>General</c:formatCode>
                <c:ptCount val="6"/>
                <c:pt idx="0">
                  <c:v>87.5</c:v>
                </c:pt>
                <c:pt idx="1">
                  <c:v>50</c:v>
                </c:pt>
                <c:pt idx="2">
                  <c:v>25</c:v>
                </c:pt>
                <c:pt idx="3">
                  <c:v>75</c:v>
                </c:pt>
                <c:pt idx="4">
                  <c:v>37.5</c:v>
                </c:pt>
                <c:pt idx="5">
                  <c:v>25</c:v>
                </c:pt>
              </c:numCache>
            </c:numRef>
          </c:val>
          <c:extLst xmlns:c16r2="http://schemas.microsoft.com/office/drawing/2015/06/chart">
            <c:ext xmlns:c16="http://schemas.microsoft.com/office/drawing/2014/chart" uri="{C3380CC4-5D6E-409C-BE32-E72D297353CC}">
              <c16:uniqueId val="{00000000-CE5D-481E-8D69-281AADDC2DA2}"/>
            </c:ext>
          </c:extLst>
        </c:ser>
        <c:ser>
          <c:idx val="1"/>
          <c:order val="1"/>
          <c:tx>
            <c:strRef>
              <c:f>Sheet1!$E$105</c:f>
              <c:strCache>
                <c:ptCount val="1"/>
                <c:pt idx="0">
                  <c:v>Resistance</c:v>
                </c:pt>
              </c:strCache>
            </c:strRef>
          </c:tx>
          <c:spPr>
            <a:pattFill prst="dkDnDiag">
              <a:fgClr>
                <a:schemeClr val="tx1"/>
              </a:fgClr>
              <a:bgClr>
                <a:schemeClr val="bg1"/>
              </a:bgClr>
            </a:pattFill>
            <a:ln>
              <a:noFill/>
            </a:ln>
            <a:effectLst/>
          </c:spPr>
          <c:invertIfNegative val="0"/>
          <c:dLbls>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Sheet1!$C$106:$C$111</c:f>
              <c:strCache>
                <c:ptCount val="6"/>
                <c:pt idx="0">
                  <c:v>Gentamicin</c:v>
                </c:pt>
                <c:pt idx="1">
                  <c:v>Cloxacillin</c:v>
                </c:pt>
                <c:pt idx="2">
                  <c:v>Ceftriaxone</c:v>
                </c:pt>
                <c:pt idx="3">
                  <c:v>Ciprofloxacin</c:v>
                </c:pt>
                <c:pt idx="4">
                  <c:v>Ampicillin</c:v>
                </c:pt>
                <c:pt idx="5">
                  <c:v>Tetracycline</c:v>
                </c:pt>
              </c:strCache>
            </c:strRef>
          </c:cat>
          <c:val>
            <c:numRef>
              <c:f>Sheet1!$E$106:$E$111</c:f>
              <c:numCache>
                <c:formatCode>General</c:formatCode>
                <c:ptCount val="6"/>
                <c:pt idx="0">
                  <c:v>12.5</c:v>
                </c:pt>
                <c:pt idx="1">
                  <c:v>50</c:v>
                </c:pt>
                <c:pt idx="2">
                  <c:v>75</c:v>
                </c:pt>
                <c:pt idx="3">
                  <c:v>25</c:v>
                </c:pt>
                <c:pt idx="4">
                  <c:v>62.5</c:v>
                </c:pt>
                <c:pt idx="5">
                  <c:v>75</c:v>
                </c:pt>
              </c:numCache>
            </c:numRef>
          </c:val>
          <c:extLst xmlns:c16r2="http://schemas.microsoft.com/office/drawing/2015/06/chart">
            <c:ext xmlns:c16="http://schemas.microsoft.com/office/drawing/2014/chart" uri="{C3380CC4-5D6E-409C-BE32-E72D297353CC}">
              <c16:uniqueId val="{00000001-CE5D-481E-8D69-281AADDC2DA2}"/>
            </c:ext>
          </c:extLst>
        </c:ser>
        <c:dLbls>
          <c:showLegendKey val="0"/>
          <c:showVal val="1"/>
          <c:showCatName val="0"/>
          <c:showSerName val="0"/>
          <c:showPercent val="0"/>
          <c:showBubbleSize val="0"/>
        </c:dLbls>
        <c:gapWidth val="150"/>
        <c:overlap val="100"/>
        <c:axId val="234517184"/>
        <c:axId val="234517576"/>
      </c:barChart>
      <c:catAx>
        <c:axId val="23451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7576"/>
        <c:crosses val="autoZero"/>
        <c:auto val="1"/>
        <c:lblAlgn val="ctr"/>
        <c:lblOffset val="100"/>
        <c:noMultiLvlLbl val="0"/>
      </c:catAx>
      <c:valAx>
        <c:axId val="234517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00" i="1">
                <a:effectLst/>
              </a:rPr>
              <a:t>Escherichia coli</a:t>
            </a:r>
            <a:endParaRPr lang="x-none" sz="1300">
              <a:effectLst/>
            </a:endParaRPr>
          </a:p>
        </c:rich>
      </c:tx>
      <c:layout>
        <c:manualLayout>
          <c:xMode val="edge"/>
          <c:yMode val="edge"/>
          <c:x val="0.42759440069991395"/>
          <c:y val="3.333333333333334E-2"/>
        </c:manualLayout>
      </c:layout>
      <c:overlay val="0"/>
      <c:spPr>
        <a:noFill/>
        <a:ln>
          <a:noFill/>
        </a:ln>
        <a:effectLst/>
      </c:spPr>
    </c:title>
    <c:autoTitleDeleted val="0"/>
    <c:plotArea>
      <c:layout/>
      <c:barChart>
        <c:barDir val="col"/>
        <c:grouping val="percentStacked"/>
        <c:varyColors val="0"/>
        <c:ser>
          <c:idx val="0"/>
          <c:order val="0"/>
          <c:tx>
            <c:strRef>
              <c:f>Sheet1!$D$116</c:f>
              <c:strCache>
                <c:ptCount val="1"/>
                <c:pt idx="0">
                  <c:v>Sensitive</c:v>
                </c:pt>
              </c:strCache>
            </c:strRef>
          </c:tx>
          <c:spPr>
            <a:pattFill prst="pct5">
              <a:fgClr>
                <a:schemeClr val="tx1"/>
              </a:fgClr>
              <a:bgClr>
                <a:schemeClr val="bg1"/>
              </a:bgClr>
            </a:pattFill>
            <a:ln>
              <a:noFill/>
            </a:ln>
            <a:effectLst/>
          </c:spPr>
          <c:invertIfNegative val="0"/>
          <c:dLbls>
            <c:dLbl>
              <c:idx val="4"/>
              <c:delete val="1"/>
              <c:extLst xmlns:c16r2="http://schemas.microsoft.com/office/drawing/2015/06/chart">
                <c:ext xmlns:c16="http://schemas.microsoft.com/office/drawing/2014/chart" uri="{C3380CC4-5D6E-409C-BE32-E72D297353CC}">
                  <c16:uniqueId val="{00000000-3757-4257-8856-AB89776C6D91}"/>
                </c:ext>
                <c:ext xmlns:c15="http://schemas.microsoft.com/office/drawing/2012/chart" uri="{CE6537A1-D6FC-4f65-9D91-7224C49458BB}"/>
              </c:extLst>
            </c:dLbl>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Sheet1!$C$117:$C$122</c:f>
              <c:strCache>
                <c:ptCount val="6"/>
                <c:pt idx="0">
                  <c:v>Gentamicin</c:v>
                </c:pt>
                <c:pt idx="1">
                  <c:v>Cloxacillin</c:v>
                </c:pt>
                <c:pt idx="2">
                  <c:v>Ceftriaxone</c:v>
                </c:pt>
                <c:pt idx="3">
                  <c:v>Ciprofloxacin</c:v>
                </c:pt>
                <c:pt idx="4">
                  <c:v>Ampicillin</c:v>
                </c:pt>
                <c:pt idx="5">
                  <c:v>Tetracycline</c:v>
                </c:pt>
              </c:strCache>
            </c:strRef>
          </c:cat>
          <c:val>
            <c:numRef>
              <c:f>Sheet1!$D$117:$D$122</c:f>
              <c:numCache>
                <c:formatCode>General</c:formatCode>
                <c:ptCount val="6"/>
                <c:pt idx="0">
                  <c:v>100</c:v>
                </c:pt>
                <c:pt idx="1">
                  <c:v>33.300000000000004</c:v>
                </c:pt>
                <c:pt idx="2">
                  <c:v>33.300000000000004</c:v>
                </c:pt>
                <c:pt idx="3">
                  <c:v>100</c:v>
                </c:pt>
                <c:pt idx="4">
                  <c:v>0</c:v>
                </c:pt>
                <c:pt idx="5">
                  <c:v>33.300000000000004</c:v>
                </c:pt>
              </c:numCache>
            </c:numRef>
          </c:val>
          <c:extLst xmlns:c16r2="http://schemas.microsoft.com/office/drawing/2015/06/chart">
            <c:ext xmlns:c16="http://schemas.microsoft.com/office/drawing/2014/chart" uri="{C3380CC4-5D6E-409C-BE32-E72D297353CC}">
              <c16:uniqueId val="{00000001-3757-4257-8856-AB89776C6D91}"/>
            </c:ext>
          </c:extLst>
        </c:ser>
        <c:ser>
          <c:idx val="1"/>
          <c:order val="1"/>
          <c:tx>
            <c:strRef>
              <c:f>Sheet1!$E$116</c:f>
              <c:strCache>
                <c:ptCount val="1"/>
                <c:pt idx="0">
                  <c:v>Resistance</c:v>
                </c:pt>
              </c:strCache>
            </c:strRef>
          </c:tx>
          <c:spPr>
            <a:pattFill prst="dkDnDiag">
              <a:fgClr>
                <a:schemeClr val="tx1"/>
              </a:fgClr>
              <a:bgClr>
                <a:schemeClr val="bg1"/>
              </a:bgClr>
            </a:pattFill>
            <a:ln>
              <a:noFill/>
            </a:ln>
            <a:effectLst/>
          </c:spPr>
          <c:invertIfNegative val="0"/>
          <c:dLbls>
            <c:dLbl>
              <c:idx val="3"/>
              <c:delete val="1"/>
              <c:extLst xmlns:c16r2="http://schemas.microsoft.com/office/drawing/2015/06/chart">
                <c:ext xmlns:c16="http://schemas.microsoft.com/office/drawing/2014/chart" uri="{C3380CC4-5D6E-409C-BE32-E72D297353CC}">
                  <c16:uniqueId val="{00000002-3757-4257-8856-AB89776C6D91}"/>
                </c:ext>
                <c:ext xmlns:c15="http://schemas.microsoft.com/office/drawing/2012/chart" uri="{CE6537A1-D6FC-4f65-9D91-7224C49458BB}"/>
              </c:extLst>
            </c:dLbl>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Sheet1!$C$117:$C$122</c:f>
              <c:strCache>
                <c:ptCount val="6"/>
                <c:pt idx="0">
                  <c:v>Gentamicin</c:v>
                </c:pt>
                <c:pt idx="1">
                  <c:v>Cloxacillin</c:v>
                </c:pt>
                <c:pt idx="2">
                  <c:v>Ceftriaxone</c:v>
                </c:pt>
                <c:pt idx="3">
                  <c:v>Ciprofloxacin</c:v>
                </c:pt>
                <c:pt idx="4">
                  <c:v>Ampicillin</c:v>
                </c:pt>
                <c:pt idx="5">
                  <c:v>Tetracycline</c:v>
                </c:pt>
              </c:strCache>
            </c:strRef>
          </c:cat>
          <c:val>
            <c:numRef>
              <c:f>Sheet1!$E$117:$E$122</c:f>
              <c:numCache>
                <c:formatCode>General</c:formatCode>
                <c:ptCount val="6"/>
                <c:pt idx="0">
                  <c:v>0</c:v>
                </c:pt>
                <c:pt idx="1">
                  <c:v>66.7</c:v>
                </c:pt>
                <c:pt idx="2">
                  <c:v>66.7</c:v>
                </c:pt>
                <c:pt idx="3">
                  <c:v>0</c:v>
                </c:pt>
                <c:pt idx="4">
                  <c:v>100</c:v>
                </c:pt>
                <c:pt idx="5">
                  <c:v>66.7</c:v>
                </c:pt>
              </c:numCache>
            </c:numRef>
          </c:val>
          <c:extLst xmlns:c16r2="http://schemas.microsoft.com/office/drawing/2015/06/chart">
            <c:ext xmlns:c16="http://schemas.microsoft.com/office/drawing/2014/chart" uri="{C3380CC4-5D6E-409C-BE32-E72D297353CC}">
              <c16:uniqueId val="{00000003-3757-4257-8856-AB89776C6D91}"/>
            </c:ext>
          </c:extLst>
        </c:ser>
        <c:dLbls>
          <c:showLegendKey val="0"/>
          <c:showVal val="1"/>
          <c:showCatName val="0"/>
          <c:showSerName val="0"/>
          <c:showPercent val="0"/>
          <c:showBubbleSize val="0"/>
        </c:dLbls>
        <c:gapWidth val="150"/>
        <c:overlap val="100"/>
        <c:axId val="234519536"/>
        <c:axId val="234514440"/>
      </c:barChart>
      <c:catAx>
        <c:axId val="23451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4440"/>
        <c:crosses val="autoZero"/>
        <c:auto val="1"/>
        <c:lblAlgn val="ctr"/>
        <c:lblOffset val="100"/>
        <c:noMultiLvlLbl val="0"/>
      </c:catAx>
      <c:valAx>
        <c:axId val="234514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9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Pseudomonas aeruginosa</a:t>
            </a:r>
            <a:endParaRPr lang="en-US"/>
          </a:p>
        </c:rich>
      </c:tx>
      <c:layout>
        <c:manualLayout>
          <c:xMode val="edge"/>
          <c:yMode val="edge"/>
          <c:x val="0.3855074365704288"/>
          <c:y val="2.7777777777778054E-2"/>
        </c:manualLayout>
      </c:layout>
      <c:overlay val="0"/>
      <c:spPr>
        <a:noFill/>
        <a:ln>
          <a:noFill/>
        </a:ln>
        <a:effectLst/>
      </c:spPr>
    </c:title>
    <c:autoTitleDeleted val="0"/>
    <c:plotArea>
      <c:layout/>
      <c:barChart>
        <c:barDir val="col"/>
        <c:grouping val="stacked"/>
        <c:varyColors val="0"/>
        <c:ser>
          <c:idx val="0"/>
          <c:order val="0"/>
          <c:tx>
            <c:strRef>
              <c:f>Sheet1!$D$126</c:f>
              <c:strCache>
                <c:ptCount val="1"/>
                <c:pt idx="0">
                  <c:v>Sensitive</c:v>
                </c:pt>
              </c:strCache>
            </c:strRef>
          </c:tx>
          <c:spPr>
            <a:pattFill prst="pct5">
              <a:fgClr>
                <a:schemeClr val="tx1"/>
              </a:fgClr>
              <a:bgClr>
                <a:schemeClr val="bg1"/>
              </a:bgClr>
            </a:pattFill>
            <a:ln>
              <a:noFill/>
            </a:ln>
            <a:effectLst/>
          </c:spPr>
          <c:invertIfNegative val="0"/>
          <c:dLbls>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Sheet1!$C$127:$C$132</c:f>
              <c:strCache>
                <c:ptCount val="6"/>
                <c:pt idx="0">
                  <c:v>Gentamicin</c:v>
                </c:pt>
                <c:pt idx="1">
                  <c:v>Cloxacillin</c:v>
                </c:pt>
                <c:pt idx="2">
                  <c:v>Ceftriaxone</c:v>
                </c:pt>
                <c:pt idx="3">
                  <c:v>Ciprofloxacin</c:v>
                </c:pt>
                <c:pt idx="4">
                  <c:v>Ampicillin</c:v>
                </c:pt>
                <c:pt idx="5">
                  <c:v>Tetracycline</c:v>
                </c:pt>
              </c:strCache>
            </c:strRef>
          </c:cat>
          <c:val>
            <c:numRef>
              <c:f>Sheet1!$D$127:$D$132</c:f>
              <c:numCache>
                <c:formatCode>General</c:formatCode>
                <c:ptCount val="6"/>
                <c:pt idx="0">
                  <c:v>60</c:v>
                </c:pt>
                <c:pt idx="1">
                  <c:v>40</c:v>
                </c:pt>
                <c:pt idx="2">
                  <c:v>20</c:v>
                </c:pt>
                <c:pt idx="3">
                  <c:v>80</c:v>
                </c:pt>
                <c:pt idx="4">
                  <c:v>40</c:v>
                </c:pt>
                <c:pt idx="5">
                  <c:v>20</c:v>
                </c:pt>
              </c:numCache>
            </c:numRef>
          </c:val>
          <c:extLst xmlns:c16r2="http://schemas.microsoft.com/office/drawing/2015/06/chart">
            <c:ext xmlns:c16="http://schemas.microsoft.com/office/drawing/2014/chart" uri="{C3380CC4-5D6E-409C-BE32-E72D297353CC}">
              <c16:uniqueId val="{00000000-5DF3-465B-B1F6-B6365799F268}"/>
            </c:ext>
          </c:extLst>
        </c:ser>
        <c:ser>
          <c:idx val="1"/>
          <c:order val="1"/>
          <c:tx>
            <c:strRef>
              <c:f>Sheet1!$E$126</c:f>
              <c:strCache>
                <c:ptCount val="1"/>
                <c:pt idx="0">
                  <c:v>Resistance</c:v>
                </c:pt>
              </c:strCache>
            </c:strRef>
          </c:tx>
          <c:spPr>
            <a:pattFill prst="dkDnDiag">
              <a:fgClr>
                <a:schemeClr val="tx1"/>
              </a:fgClr>
              <a:bgClr>
                <a:schemeClr val="bg1"/>
              </a:bgClr>
            </a:pattFill>
            <a:ln>
              <a:noFill/>
            </a:ln>
            <a:effectLst/>
          </c:spPr>
          <c:invertIfNegative val="0"/>
          <c:dLbls>
            <c:spPr>
              <a:solidFill>
                <a:schemeClr val="bg1">
                  <a:lumMod val="8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Sheet1!$C$127:$C$132</c:f>
              <c:strCache>
                <c:ptCount val="6"/>
                <c:pt idx="0">
                  <c:v>Gentamicin</c:v>
                </c:pt>
                <c:pt idx="1">
                  <c:v>Cloxacillin</c:v>
                </c:pt>
                <c:pt idx="2">
                  <c:v>Ceftriaxone</c:v>
                </c:pt>
                <c:pt idx="3">
                  <c:v>Ciprofloxacin</c:v>
                </c:pt>
                <c:pt idx="4">
                  <c:v>Ampicillin</c:v>
                </c:pt>
                <c:pt idx="5">
                  <c:v>Tetracycline</c:v>
                </c:pt>
              </c:strCache>
            </c:strRef>
          </c:cat>
          <c:val>
            <c:numRef>
              <c:f>Sheet1!$E$127:$E$132</c:f>
              <c:numCache>
                <c:formatCode>General</c:formatCode>
                <c:ptCount val="6"/>
                <c:pt idx="0">
                  <c:v>40</c:v>
                </c:pt>
                <c:pt idx="1">
                  <c:v>60</c:v>
                </c:pt>
                <c:pt idx="2">
                  <c:v>80</c:v>
                </c:pt>
                <c:pt idx="3">
                  <c:v>20</c:v>
                </c:pt>
                <c:pt idx="4">
                  <c:v>60</c:v>
                </c:pt>
                <c:pt idx="5">
                  <c:v>80</c:v>
                </c:pt>
              </c:numCache>
            </c:numRef>
          </c:val>
          <c:extLst xmlns:c16r2="http://schemas.microsoft.com/office/drawing/2015/06/chart">
            <c:ext xmlns:c16="http://schemas.microsoft.com/office/drawing/2014/chart" uri="{C3380CC4-5D6E-409C-BE32-E72D297353CC}">
              <c16:uniqueId val="{00000001-5DF3-465B-B1F6-B6365799F268}"/>
            </c:ext>
          </c:extLst>
        </c:ser>
        <c:dLbls>
          <c:showLegendKey val="0"/>
          <c:showVal val="1"/>
          <c:showCatName val="0"/>
          <c:showSerName val="0"/>
          <c:showPercent val="0"/>
          <c:showBubbleSize val="0"/>
        </c:dLbls>
        <c:gapWidth val="150"/>
        <c:overlap val="100"/>
        <c:axId val="234519928"/>
        <c:axId val="237247168"/>
      </c:barChart>
      <c:catAx>
        <c:axId val="234519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247168"/>
        <c:crosses val="autoZero"/>
        <c:auto val="1"/>
        <c:lblAlgn val="ctr"/>
        <c:lblOffset val="100"/>
        <c:noMultiLvlLbl val="0"/>
      </c:catAx>
      <c:valAx>
        <c:axId val="237247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51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9</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CONSTANT-TECH</cp:lastModifiedBy>
  <cp:revision>11</cp:revision>
  <cp:lastPrinted>2024-12-18T08:10:00Z</cp:lastPrinted>
  <dcterms:created xsi:type="dcterms:W3CDTF">2024-12-18T04:48:00Z</dcterms:created>
  <dcterms:modified xsi:type="dcterms:W3CDTF">2024-12-18T08:10:00Z</dcterms:modified>
</cp:coreProperties>
</file>