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3D5" w:rsidRPr="007A53D5" w:rsidRDefault="007A53D5" w:rsidP="003477C6">
      <w:pPr>
        <w:jc w:val="center"/>
        <w:rPr>
          <w:rFonts w:ascii="Times New Roman" w:hAnsi="Times New Roman" w:cs="Times New Roman"/>
          <w:b/>
          <w:sz w:val="24"/>
          <w:szCs w:val="24"/>
        </w:rPr>
      </w:pPr>
      <w:r w:rsidRPr="007A53D5">
        <w:rPr>
          <w:rFonts w:ascii="Times New Roman" w:hAnsi="Times New Roman" w:cs="Times New Roman"/>
          <w:b/>
          <w:sz w:val="24"/>
          <w:szCs w:val="24"/>
        </w:rPr>
        <w:t xml:space="preserve">Synthesis, Spectroscopic Characterization and </w:t>
      </w:r>
      <w:r w:rsidRPr="007A53D5">
        <w:rPr>
          <w:rFonts w:ascii="Times New Roman" w:hAnsi="Times New Roman" w:cs="Times New Roman"/>
          <w:b/>
          <w:i/>
          <w:sz w:val="24"/>
          <w:szCs w:val="24"/>
        </w:rPr>
        <w:t>In Vitro</w:t>
      </w:r>
      <w:r w:rsidRPr="007A53D5">
        <w:rPr>
          <w:rFonts w:ascii="Times New Roman" w:hAnsi="Times New Roman" w:cs="Times New Roman"/>
          <w:b/>
          <w:sz w:val="24"/>
          <w:szCs w:val="24"/>
        </w:rPr>
        <w:t xml:space="preserve"> Antibacterial Evaluation of Ni(II), Cu(II) and Zn(II) Complexes of 2-Acetylfuran Thiosemicarbazone</w:t>
      </w:r>
    </w:p>
    <w:p w:rsidR="003477C6" w:rsidRPr="00A318E8" w:rsidRDefault="003477C6" w:rsidP="003477C6">
      <w:pPr>
        <w:jc w:val="center"/>
        <w:rPr>
          <w:rFonts w:ascii="Times New Roman" w:hAnsi="Times New Roman" w:cs="Times New Roman"/>
          <w:b/>
          <w:sz w:val="24"/>
          <w:szCs w:val="24"/>
          <w:lang w:val="en-US"/>
        </w:rPr>
      </w:pPr>
      <w:r w:rsidRPr="00A318E8">
        <w:rPr>
          <w:rFonts w:ascii="Times New Roman" w:hAnsi="Times New Roman" w:cs="Times New Roman"/>
          <w:b/>
          <w:sz w:val="24"/>
          <w:szCs w:val="24"/>
        </w:rPr>
        <w:t>B.L. Abdulla</w:t>
      </w:r>
      <w:r w:rsidRPr="00A318E8">
        <w:rPr>
          <w:rFonts w:ascii="Times New Roman" w:hAnsi="Times New Roman" w:cs="Times New Roman"/>
          <w:b/>
          <w:sz w:val="24"/>
          <w:szCs w:val="24"/>
          <w:lang w:val="en-US"/>
        </w:rPr>
        <w:t>hi</w:t>
      </w:r>
    </w:p>
    <w:p w:rsidR="003477C6" w:rsidRPr="00A318E8" w:rsidRDefault="003477C6" w:rsidP="003477C6">
      <w:pPr>
        <w:spacing w:after="0" w:line="240" w:lineRule="auto"/>
        <w:jc w:val="center"/>
        <w:rPr>
          <w:rFonts w:ascii="Times New Roman" w:eastAsia="TTE1943820t00" w:hAnsi="Times New Roman" w:cs="Times New Roman"/>
          <w:b/>
          <w:sz w:val="20"/>
          <w:szCs w:val="20"/>
        </w:rPr>
      </w:pPr>
      <w:r w:rsidRPr="00A318E8">
        <w:rPr>
          <w:rFonts w:ascii="Times New Roman" w:hAnsi="Times New Roman" w:cs="Times New Roman"/>
          <w:b/>
          <w:iCs/>
          <w:sz w:val="20"/>
          <w:szCs w:val="20"/>
        </w:rPr>
        <w:t xml:space="preserve">Department of Pure and Industrial Chemistry, Bayero University, </w:t>
      </w:r>
      <w:r w:rsidRPr="00A318E8">
        <w:rPr>
          <w:rFonts w:ascii="Times New Roman" w:eastAsia="TTE1943820t00" w:hAnsi="Times New Roman" w:cs="Times New Roman"/>
          <w:b/>
          <w:sz w:val="20"/>
          <w:szCs w:val="20"/>
        </w:rPr>
        <w:t>P. M. B. 3011, Kano, Nigeria</w:t>
      </w:r>
    </w:p>
    <w:p w:rsidR="003477C6" w:rsidRPr="00A318E8" w:rsidRDefault="003477C6" w:rsidP="003477C6">
      <w:pPr>
        <w:spacing w:after="0" w:line="240" w:lineRule="auto"/>
        <w:jc w:val="center"/>
        <w:rPr>
          <w:rFonts w:ascii="Times New Roman" w:eastAsia="Times New Roman" w:hAnsi="Times New Roman" w:cs="Times New Roman"/>
          <w:b/>
          <w:i/>
          <w:sz w:val="24"/>
          <w:szCs w:val="24"/>
        </w:rPr>
      </w:pPr>
      <w:r w:rsidRPr="00A318E8">
        <w:rPr>
          <w:rFonts w:ascii="Times New Roman" w:hAnsi="Times New Roman" w:cs="Times New Roman"/>
          <w:b/>
          <w:sz w:val="24"/>
          <w:szCs w:val="24"/>
          <w:vertAlign w:val="superscript"/>
        </w:rPr>
        <w:t>*</w:t>
      </w:r>
      <w:r w:rsidRPr="00A318E8">
        <w:rPr>
          <w:rFonts w:ascii="Times New Roman" w:eastAsia="TTE1943820t00" w:hAnsi="Times New Roman" w:cs="Times New Roman"/>
          <w:b/>
        </w:rPr>
        <w:t>Corresponding Author:</w:t>
      </w:r>
      <w:r w:rsidRPr="00A318E8">
        <w:rPr>
          <w:rFonts w:ascii="Times New Roman" w:eastAsia="Times New Roman" w:hAnsi="Times New Roman" w:cs="Times New Roman"/>
          <w:b/>
          <w:sz w:val="24"/>
          <w:szCs w:val="24"/>
        </w:rPr>
        <w:t xml:space="preserve"> </w:t>
      </w:r>
      <w:hyperlink r:id="rId8" w:history="1">
        <w:r w:rsidRPr="00440400">
          <w:rPr>
            <w:rStyle w:val="Hyperlink"/>
            <w:rFonts w:ascii="Times New Roman" w:eastAsia="Times New Roman" w:hAnsi="Times New Roman" w:cs="Times New Roman"/>
            <w:b/>
            <w:sz w:val="24"/>
            <w:szCs w:val="24"/>
          </w:rPr>
          <w:t>Blabdullahi59@gmail.com</w:t>
        </w:r>
      </w:hyperlink>
      <w:r>
        <w:rPr>
          <w:rFonts w:ascii="Times New Roman" w:eastAsia="Times New Roman" w:hAnsi="Times New Roman" w:cs="Times New Roman"/>
          <w:b/>
          <w:sz w:val="24"/>
          <w:szCs w:val="24"/>
        </w:rPr>
        <w:t xml:space="preserve"> (08133227372)</w:t>
      </w:r>
    </w:p>
    <w:p w:rsidR="003477C6" w:rsidRDefault="003477C6">
      <w:pPr>
        <w:rPr>
          <w:rFonts w:ascii="Times New Roman" w:hAnsi="Times New Roman" w:cs="Times New Roman"/>
        </w:rPr>
      </w:pPr>
    </w:p>
    <w:p w:rsidR="003477C6" w:rsidRDefault="003477C6">
      <w:pPr>
        <w:spacing w:after="0" w:line="240" w:lineRule="auto"/>
        <w:rPr>
          <w:rFonts w:ascii="Times New Roman" w:hAnsi="Times New Roman" w:cs="Times New Roman"/>
        </w:rPr>
      </w:pPr>
      <w:r>
        <w:rPr>
          <w:rFonts w:ascii="Times New Roman" w:hAnsi="Times New Roman" w:cs="Times New Roman"/>
        </w:rPr>
        <w:br w:type="page"/>
      </w:r>
    </w:p>
    <w:p w:rsidR="00BD7CA4" w:rsidRPr="00A318E8" w:rsidRDefault="00BD7CA4">
      <w:pPr>
        <w:rPr>
          <w:rFonts w:ascii="Times New Roman" w:hAnsi="Times New Roman" w:cs="Times New Roman"/>
        </w:rPr>
      </w:pPr>
    </w:p>
    <w:p w:rsidR="00FF2610" w:rsidRPr="007A53D5" w:rsidRDefault="007A53D5" w:rsidP="007A53D5">
      <w:pPr>
        <w:spacing w:after="0"/>
        <w:jc w:val="center"/>
        <w:rPr>
          <w:rFonts w:ascii="Times New Roman" w:eastAsia="Times New Roman" w:hAnsi="Times New Roman" w:cs="Times New Roman"/>
          <w:b/>
          <w:bCs/>
          <w:sz w:val="24"/>
          <w:szCs w:val="24"/>
        </w:rPr>
      </w:pPr>
      <w:r w:rsidRPr="007A53D5">
        <w:rPr>
          <w:rFonts w:ascii="Times New Roman" w:hAnsi="Times New Roman" w:cs="Times New Roman"/>
          <w:b/>
          <w:sz w:val="24"/>
          <w:szCs w:val="24"/>
        </w:rPr>
        <w:t xml:space="preserve">Synthesis, Spectroscopic Characterization and </w:t>
      </w:r>
      <w:r w:rsidRPr="007A53D5">
        <w:rPr>
          <w:rFonts w:ascii="Times New Roman" w:hAnsi="Times New Roman" w:cs="Times New Roman"/>
          <w:b/>
          <w:i/>
          <w:sz w:val="24"/>
          <w:szCs w:val="24"/>
        </w:rPr>
        <w:t>In Vitro</w:t>
      </w:r>
      <w:r w:rsidRPr="007A53D5">
        <w:rPr>
          <w:rFonts w:ascii="Times New Roman" w:hAnsi="Times New Roman" w:cs="Times New Roman"/>
          <w:b/>
          <w:sz w:val="24"/>
          <w:szCs w:val="24"/>
        </w:rPr>
        <w:t xml:space="preserve"> Antibacterial Evaluation of Ni(II), Cu(II) and Zn(II) Complexes of 2-Acetylfuran Thiosemicarbazone</w:t>
      </w:r>
    </w:p>
    <w:p w:rsidR="00825AF3" w:rsidRDefault="00695E5F" w:rsidP="00825AF3">
      <w:pPr>
        <w:spacing w:after="0"/>
        <w:jc w:val="both"/>
        <w:rPr>
          <w:rFonts w:ascii="Times New Roman" w:eastAsia="Times New Roman" w:hAnsi="Times New Roman" w:cs="Times New Roman"/>
          <w:b/>
          <w:bCs/>
          <w:sz w:val="24"/>
          <w:szCs w:val="24"/>
        </w:rPr>
      </w:pPr>
      <w:r w:rsidRPr="00A318E8">
        <w:rPr>
          <w:rFonts w:ascii="Times New Roman" w:eastAsia="Times New Roman" w:hAnsi="Times New Roman" w:cs="Times New Roman"/>
          <w:b/>
          <w:bCs/>
          <w:sz w:val="24"/>
          <w:szCs w:val="24"/>
        </w:rPr>
        <w:t>ABSTRACT</w:t>
      </w:r>
    </w:p>
    <w:p w:rsidR="00825AF3" w:rsidRDefault="00EB0918" w:rsidP="00825AF3">
      <w:pPr>
        <w:spacing w:after="0" w:line="480" w:lineRule="auto"/>
        <w:jc w:val="both"/>
        <w:rPr>
          <w:rFonts w:ascii="Times New Roman" w:eastAsia="Times New Roman" w:hAnsi="Times New Roman" w:cs="Times New Roman"/>
          <w:b/>
          <w:bCs/>
          <w:sz w:val="24"/>
          <w:szCs w:val="24"/>
        </w:rPr>
      </w:pPr>
      <w:r w:rsidRPr="00EB0918">
        <w:rPr>
          <w:rFonts w:ascii="Times New Roman" w:eastAsia="Times New Roman" w:hAnsi="Times New Roman" w:cs="Times New Roman"/>
          <w:sz w:val="24"/>
          <w:szCs w:val="24"/>
          <w:lang w:val="en-US"/>
        </w:rPr>
        <w:t xml:space="preserve">This study reports the synthesis, physicochemical characterization, and </w:t>
      </w:r>
      <w:r w:rsidRPr="00825AF3">
        <w:rPr>
          <w:rFonts w:ascii="Times New Roman" w:eastAsia="Times New Roman" w:hAnsi="Times New Roman" w:cs="Times New Roman"/>
          <w:i/>
          <w:sz w:val="24"/>
          <w:szCs w:val="24"/>
          <w:lang w:val="en-US"/>
        </w:rPr>
        <w:t xml:space="preserve">in vitro </w:t>
      </w:r>
      <w:r w:rsidRPr="00EB0918">
        <w:rPr>
          <w:rFonts w:ascii="Times New Roman" w:eastAsia="Times New Roman" w:hAnsi="Times New Roman" w:cs="Times New Roman"/>
          <w:sz w:val="24"/>
          <w:szCs w:val="24"/>
          <w:lang w:val="en-US"/>
        </w:rPr>
        <w:t>antibacterial screening of Ni(II), Cu(II), and Zn(II) complexes derived from a 2-acetylfuran thiosemicarbazone ligand. The ligand and its metal complexes were synthesized under reflux conditions and characterized by elemental analysis, molar conductance, magnetic susceptibility, infrared, and UV–visible spectroscopy. The molar conductance values in DMSO (5.59</w:t>
      </w:r>
      <w:r w:rsidR="00825AF3">
        <w:rPr>
          <w:rFonts w:ascii="Times New Roman" w:eastAsia="Times New Roman" w:hAnsi="Times New Roman" w:cs="Times New Roman"/>
          <w:sz w:val="24"/>
          <w:szCs w:val="24"/>
          <w:lang w:val="en-US"/>
        </w:rPr>
        <w:t>-</w:t>
      </w:r>
      <w:r w:rsidRPr="00EB0918">
        <w:rPr>
          <w:rFonts w:ascii="Times New Roman" w:eastAsia="Times New Roman" w:hAnsi="Times New Roman" w:cs="Times New Roman"/>
          <w:sz w:val="24"/>
          <w:szCs w:val="24"/>
          <w:lang w:val="en-US"/>
        </w:rPr>
        <w:t>13.0 Ω⁻¹ cm² mol⁻¹) indicate the non-electrolytic nature of the complexes. The Ni(II) and Cu(II) complexes exhibited effective magnetic moments of 3.22 and 2.11 B.M., respectively, while the Zn(II) complex was diamagnetic. The combined magnetic and spectroscopic data suggest octahedral coordination environments around the metal centers.</w:t>
      </w:r>
    </w:p>
    <w:p w:rsidR="00EB0918" w:rsidRPr="00825AF3" w:rsidRDefault="00EB0918" w:rsidP="00825AF3">
      <w:pPr>
        <w:spacing w:after="0" w:line="480" w:lineRule="auto"/>
        <w:jc w:val="both"/>
        <w:rPr>
          <w:rFonts w:ascii="Times New Roman" w:eastAsia="Times New Roman" w:hAnsi="Times New Roman" w:cs="Times New Roman"/>
          <w:b/>
          <w:bCs/>
          <w:sz w:val="24"/>
          <w:szCs w:val="24"/>
        </w:rPr>
      </w:pPr>
      <w:r w:rsidRPr="00825AF3">
        <w:rPr>
          <w:rFonts w:ascii="Times New Roman" w:eastAsia="Times New Roman" w:hAnsi="Times New Roman" w:cs="Times New Roman"/>
          <w:i/>
          <w:sz w:val="24"/>
          <w:szCs w:val="24"/>
          <w:lang w:val="en-US"/>
        </w:rPr>
        <w:t>In vitro</w:t>
      </w:r>
      <w:r w:rsidRPr="00EB0918">
        <w:rPr>
          <w:rFonts w:ascii="Times New Roman" w:eastAsia="Times New Roman" w:hAnsi="Times New Roman" w:cs="Times New Roman"/>
          <w:sz w:val="24"/>
          <w:szCs w:val="24"/>
          <w:lang w:val="en-US"/>
        </w:rPr>
        <w:t xml:space="preserve"> antibacterial activity was evaluated using the agar well diffusion method against </w:t>
      </w:r>
      <w:r w:rsidRPr="00EB0918">
        <w:rPr>
          <w:rFonts w:ascii="Times New Roman" w:eastAsia="Times New Roman" w:hAnsi="Times New Roman" w:cs="Times New Roman"/>
          <w:i/>
          <w:iCs/>
          <w:sz w:val="24"/>
          <w:szCs w:val="24"/>
          <w:lang w:val="en-US"/>
        </w:rPr>
        <w:t>Staphylococcus aureus</w:t>
      </w:r>
      <w:r w:rsidRPr="00EB0918">
        <w:rPr>
          <w:rFonts w:ascii="Times New Roman" w:eastAsia="Times New Roman" w:hAnsi="Times New Roman" w:cs="Times New Roman"/>
          <w:sz w:val="24"/>
          <w:szCs w:val="24"/>
          <w:lang w:val="en-US"/>
        </w:rPr>
        <w:t xml:space="preserve">, </w:t>
      </w:r>
      <w:r w:rsidRPr="00EB0918">
        <w:rPr>
          <w:rFonts w:ascii="Times New Roman" w:eastAsia="Times New Roman" w:hAnsi="Times New Roman" w:cs="Times New Roman"/>
          <w:i/>
          <w:iCs/>
          <w:sz w:val="24"/>
          <w:szCs w:val="24"/>
          <w:lang w:val="en-US"/>
        </w:rPr>
        <w:t>Escherichia coli</w:t>
      </w:r>
      <w:r w:rsidRPr="00EB0918">
        <w:rPr>
          <w:rFonts w:ascii="Times New Roman" w:eastAsia="Times New Roman" w:hAnsi="Times New Roman" w:cs="Times New Roman"/>
          <w:sz w:val="24"/>
          <w:szCs w:val="24"/>
          <w:lang w:val="en-US"/>
        </w:rPr>
        <w:t xml:space="preserve">, and </w:t>
      </w:r>
      <w:r w:rsidRPr="00EB0918">
        <w:rPr>
          <w:rFonts w:ascii="Times New Roman" w:eastAsia="Times New Roman" w:hAnsi="Times New Roman" w:cs="Times New Roman"/>
          <w:i/>
          <w:iCs/>
          <w:sz w:val="24"/>
          <w:szCs w:val="24"/>
          <w:lang w:val="en-US"/>
        </w:rPr>
        <w:t>Salmonella typhi</w:t>
      </w:r>
      <w:r w:rsidRPr="00EB0918">
        <w:rPr>
          <w:rFonts w:ascii="Times New Roman" w:eastAsia="Times New Roman" w:hAnsi="Times New Roman" w:cs="Times New Roman"/>
          <w:sz w:val="24"/>
          <w:szCs w:val="24"/>
          <w:lang w:val="en-US"/>
        </w:rPr>
        <w:t xml:space="preserve"> at concentrations of 250</w:t>
      </w:r>
      <w:r w:rsidR="00825AF3">
        <w:rPr>
          <w:rFonts w:ascii="Times New Roman" w:eastAsia="Times New Roman" w:hAnsi="Times New Roman" w:cs="Times New Roman"/>
          <w:sz w:val="24"/>
          <w:szCs w:val="24"/>
          <w:lang w:val="en-US"/>
        </w:rPr>
        <w:t>-</w:t>
      </w:r>
      <w:r w:rsidRPr="00EB0918">
        <w:rPr>
          <w:rFonts w:ascii="Times New Roman" w:eastAsia="Times New Roman" w:hAnsi="Times New Roman" w:cs="Times New Roman"/>
          <w:sz w:val="24"/>
          <w:szCs w:val="24"/>
          <w:lang w:val="en-US"/>
        </w:rPr>
        <w:t xml:space="preserve">2000 µg/mL. At 2000 µg/mL, the free ligand produced inhibition zones of 10, 12, and 14 mm against </w:t>
      </w:r>
      <w:r w:rsidRPr="00EB0918">
        <w:rPr>
          <w:rFonts w:ascii="Times New Roman" w:eastAsia="Times New Roman" w:hAnsi="Times New Roman" w:cs="Times New Roman"/>
          <w:i/>
          <w:iCs/>
          <w:sz w:val="24"/>
          <w:szCs w:val="24"/>
          <w:lang w:val="en-US"/>
        </w:rPr>
        <w:t>S. aureus</w:t>
      </w:r>
      <w:r w:rsidRPr="00EB0918">
        <w:rPr>
          <w:rFonts w:ascii="Times New Roman" w:eastAsia="Times New Roman" w:hAnsi="Times New Roman" w:cs="Times New Roman"/>
          <w:sz w:val="24"/>
          <w:szCs w:val="24"/>
          <w:lang w:val="en-US"/>
        </w:rPr>
        <w:t xml:space="preserve">, </w:t>
      </w:r>
      <w:r w:rsidRPr="00EB0918">
        <w:rPr>
          <w:rFonts w:ascii="Times New Roman" w:eastAsia="Times New Roman" w:hAnsi="Times New Roman" w:cs="Times New Roman"/>
          <w:i/>
          <w:iCs/>
          <w:sz w:val="24"/>
          <w:szCs w:val="24"/>
          <w:lang w:val="en-US"/>
        </w:rPr>
        <w:t>E. coli</w:t>
      </w:r>
      <w:r w:rsidRPr="00EB0918">
        <w:rPr>
          <w:rFonts w:ascii="Times New Roman" w:eastAsia="Times New Roman" w:hAnsi="Times New Roman" w:cs="Times New Roman"/>
          <w:sz w:val="24"/>
          <w:szCs w:val="24"/>
          <w:lang w:val="en-US"/>
        </w:rPr>
        <w:t xml:space="preserve">, and </w:t>
      </w:r>
      <w:r w:rsidRPr="00EB0918">
        <w:rPr>
          <w:rFonts w:ascii="Times New Roman" w:eastAsia="Times New Roman" w:hAnsi="Times New Roman" w:cs="Times New Roman"/>
          <w:i/>
          <w:iCs/>
          <w:sz w:val="24"/>
          <w:szCs w:val="24"/>
          <w:lang w:val="en-US"/>
        </w:rPr>
        <w:t>S. typhi</w:t>
      </w:r>
      <w:r w:rsidRPr="00EB0918">
        <w:rPr>
          <w:rFonts w:ascii="Times New Roman" w:eastAsia="Times New Roman" w:hAnsi="Times New Roman" w:cs="Times New Roman"/>
          <w:sz w:val="24"/>
          <w:szCs w:val="24"/>
          <w:lang w:val="en-US"/>
        </w:rPr>
        <w:t>, respectively. Under the same conditions, the metal complexes exhibited higher inhibition zones than the free ligand, although their activities remained lower than that of the standard drug, ciprofloxacin (26 mm). These findings suggest that metal coordination modifies the antibacterial behavior of the ligand, possibly through chelation-related changes in lipophilicity and metal</w:t>
      </w:r>
      <w:r w:rsidR="00825AF3">
        <w:rPr>
          <w:rFonts w:ascii="Times New Roman" w:eastAsia="Times New Roman" w:hAnsi="Times New Roman" w:cs="Times New Roman"/>
          <w:sz w:val="24"/>
          <w:szCs w:val="24"/>
          <w:lang w:val="en-US"/>
        </w:rPr>
        <w:t>-</w:t>
      </w:r>
      <w:r w:rsidRPr="00EB0918">
        <w:rPr>
          <w:rFonts w:ascii="Times New Roman" w:eastAsia="Times New Roman" w:hAnsi="Times New Roman" w:cs="Times New Roman"/>
          <w:sz w:val="24"/>
          <w:szCs w:val="24"/>
          <w:lang w:val="en-US"/>
        </w:rPr>
        <w:t>mediated biological interactions. Further quantitative and structural investigations are required to better establish the structure</w:t>
      </w:r>
      <w:r w:rsidR="00825AF3">
        <w:rPr>
          <w:rFonts w:ascii="Times New Roman" w:eastAsia="Times New Roman" w:hAnsi="Times New Roman" w:cs="Times New Roman"/>
          <w:sz w:val="24"/>
          <w:szCs w:val="24"/>
          <w:lang w:val="en-US"/>
        </w:rPr>
        <w:t>-</w:t>
      </w:r>
      <w:r w:rsidRPr="00EB0918">
        <w:rPr>
          <w:rFonts w:ascii="Times New Roman" w:eastAsia="Times New Roman" w:hAnsi="Times New Roman" w:cs="Times New Roman"/>
          <w:sz w:val="24"/>
          <w:szCs w:val="24"/>
          <w:lang w:val="en-US"/>
        </w:rPr>
        <w:t>activity relationship.</w:t>
      </w:r>
    </w:p>
    <w:p w:rsidR="00BD7CA4" w:rsidRPr="00825AF3" w:rsidRDefault="00695E5F" w:rsidP="00825AF3">
      <w:pPr>
        <w:spacing w:after="0"/>
        <w:jc w:val="both"/>
        <w:rPr>
          <w:rFonts w:ascii="Times New Roman" w:eastAsia="Times New Roman" w:hAnsi="Times New Roman" w:cs="Times New Roman"/>
          <w:b/>
          <w:bCs/>
          <w:sz w:val="24"/>
          <w:szCs w:val="24"/>
        </w:rPr>
      </w:pPr>
      <w:r w:rsidRPr="00A318E8">
        <w:rPr>
          <w:rFonts w:ascii="Times New Roman" w:eastAsia="Times New Roman" w:hAnsi="Times New Roman" w:cs="Times New Roman"/>
          <w:b/>
          <w:sz w:val="24"/>
          <w:szCs w:val="24"/>
        </w:rPr>
        <w:t>Keywords</w:t>
      </w:r>
      <w:r w:rsidR="00CF191D" w:rsidRPr="00A318E8">
        <w:rPr>
          <w:rFonts w:ascii="Times New Roman" w:eastAsia="Times New Roman" w:hAnsi="Times New Roman" w:cs="Times New Roman"/>
          <w:b/>
          <w:sz w:val="24"/>
          <w:szCs w:val="24"/>
        </w:rPr>
        <w:t xml:space="preserve">: </w:t>
      </w:r>
      <w:r w:rsidR="00CF191D" w:rsidRPr="00A318E8">
        <w:rPr>
          <w:rFonts w:ascii="Times New Roman" w:hAnsi="Times New Roman" w:cs="Times New Roman"/>
          <w:sz w:val="24"/>
          <w:szCs w:val="24"/>
        </w:rPr>
        <w:t>Thiosemicarbazone Schiff base, Transition metal complexes, characterization · Coordination chemistry, Antibacterial screening, Agar well diffusion method</w:t>
      </w:r>
      <w:r w:rsidRPr="00A318E8">
        <w:rPr>
          <w:rFonts w:ascii="Times New Roman" w:eastAsia="Times New Roman" w:hAnsi="Times New Roman" w:cs="Times New Roman"/>
          <w:sz w:val="24"/>
          <w:szCs w:val="24"/>
        </w:rPr>
        <w:t>.</w:t>
      </w:r>
      <w:r w:rsidRPr="00A318E8">
        <w:rPr>
          <w:rFonts w:ascii="Times New Roman" w:hAnsi="Times New Roman" w:cs="Times New Roman"/>
          <w:b/>
          <w:sz w:val="24"/>
          <w:szCs w:val="24"/>
        </w:rPr>
        <w:t xml:space="preserve"> </w:t>
      </w:r>
    </w:p>
    <w:p w:rsidR="00BD7CA4" w:rsidRPr="00A318E8" w:rsidRDefault="00BD7CA4">
      <w:pPr>
        <w:rPr>
          <w:rFonts w:ascii="Times New Roman" w:hAnsi="Times New Roman" w:cs="Times New Roman"/>
          <w:b/>
        </w:rPr>
      </w:pPr>
    </w:p>
    <w:p w:rsidR="00BD7CA4" w:rsidRPr="00A318E8" w:rsidRDefault="00BD7CA4">
      <w:pPr>
        <w:rPr>
          <w:rFonts w:ascii="Times New Roman" w:hAnsi="Times New Roman" w:cs="Times New Roman"/>
          <w:b/>
        </w:rPr>
      </w:pPr>
    </w:p>
    <w:p w:rsidR="003B5159" w:rsidRDefault="003B5159" w:rsidP="00FF2610">
      <w:pPr>
        <w:spacing w:line="240" w:lineRule="auto"/>
        <w:rPr>
          <w:rFonts w:ascii="Times New Roman" w:hAnsi="Times New Roman" w:cs="Times New Roman"/>
          <w:b/>
        </w:rPr>
      </w:pPr>
    </w:p>
    <w:p w:rsidR="00BD7CA4" w:rsidRDefault="00695E5F" w:rsidP="00FF2610">
      <w:pPr>
        <w:spacing w:line="240" w:lineRule="auto"/>
        <w:rPr>
          <w:rFonts w:ascii="Times New Roman" w:hAnsi="Times New Roman" w:cs="Times New Roman"/>
          <w:b/>
          <w:sz w:val="24"/>
          <w:szCs w:val="24"/>
        </w:rPr>
      </w:pPr>
      <w:r w:rsidRPr="00A318E8">
        <w:rPr>
          <w:rFonts w:ascii="Times New Roman" w:hAnsi="Times New Roman" w:cs="Times New Roman"/>
          <w:b/>
          <w:sz w:val="24"/>
          <w:szCs w:val="24"/>
        </w:rPr>
        <w:lastRenderedPageBreak/>
        <w:t>INTRODUCTION</w:t>
      </w:r>
    </w:p>
    <w:p w:rsidR="003B5159" w:rsidRDefault="003B5159" w:rsidP="003B5159">
      <w:pPr>
        <w:spacing w:before="100" w:beforeAutospacing="1" w:after="100" w:afterAutospacing="1" w:line="480" w:lineRule="auto"/>
        <w:jc w:val="both"/>
        <w:rPr>
          <w:rFonts w:ascii="Times New Roman" w:eastAsia="Times New Roman" w:hAnsi="Times New Roman" w:cs="Times New Roman"/>
          <w:sz w:val="24"/>
          <w:szCs w:val="24"/>
          <w:lang w:val="en-US"/>
        </w:rPr>
      </w:pPr>
      <w:r w:rsidRPr="003B5159">
        <w:rPr>
          <w:rFonts w:ascii="Times New Roman" w:eastAsia="Times New Roman" w:hAnsi="Times New Roman" w:cs="Times New Roman"/>
          <w:sz w:val="24"/>
          <w:szCs w:val="24"/>
          <w:lang w:val="en-US"/>
        </w:rPr>
        <w:t>Schiff base ligands occupy a central position in coordination chemistry owing to their structural versatility, ease of synthesis, and strong metal-binding capacity</w:t>
      </w:r>
      <w:r w:rsidR="00E36E76">
        <w:rPr>
          <w:rFonts w:ascii="Times New Roman" w:eastAsia="Times New Roman" w:hAnsi="Times New Roman" w:cs="Times New Roman"/>
          <w:sz w:val="24"/>
          <w:szCs w:val="24"/>
          <w:lang w:val="en-US"/>
        </w:rPr>
        <w:t xml:space="preserve"> (Malav and Ray, 2025)</w:t>
      </w:r>
      <w:r w:rsidRPr="003B5159">
        <w:rPr>
          <w:rFonts w:ascii="Times New Roman" w:eastAsia="Times New Roman" w:hAnsi="Times New Roman" w:cs="Times New Roman"/>
          <w:sz w:val="24"/>
          <w:szCs w:val="24"/>
          <w:lang w:val="en-US"/>
        </w:rPr>
        <w:t>. They are typically formed through condensation reactions between primary amines and aldehydes or ketones, generating the azomethine (–C=N–)</w:t>
      </w:r>
      <w:r w:rsidR="006340CE">
        <w:rPr>
          <w:rFonts w:ascii="Times New Roman" w:eastAsia="Times New Roman" w:hAnsi="Times New Roman" w:cs="Times New Roman"/>
          <w:sz w:val="24"/>
          <w:szCs w:val="24"/>
          <w:lang w:val="en-US"/>
        </w:rPr>
        <w:t xml:space="preserve"> </w:t>
      </w:r>
      <w:r w:rsidRPr="003B5159">
        <w:rPr>
          <w:rFonts w:ascii="Times New Roman" w:eastAsia="Times New Roman" w:hAnsi="Times New Roman" w:cs="Times New Roman"/>
          <w:sz w:val="24"/>
          <w:szCs w:val="24"/>
          <w:lang w:val="en-US"/>
        </w:rPr>
        <w:t>functional group, which serves as a key coordination site for transition metal ions</w:t>
      </w:r>
      <w:r w:rsidR="006340CE">
        <w:rPr>
          <w:rFonts w:ascii="Times New Roman" w:eastAsia="Times New Roman" w:hAnsi="Times New Roman" w:cs="Times New Roman"/>
          <w:sz w:val="24"/>
          <w:szCs w:val="24"/>
          <w:lang w:val="en-US"/>
        </w:rPr>
        <w:t xml:space="preserve"> (47)</w:t>
      </w:r>
      <w:r w:rsidRPr="003B5159">
        <w:rPr>
          <w:rFonts w:ascii="Times New Roman" w:eastAsia="Times New Roman" w:hAnsi="Times New Roman" w:cs="Times New Roman"/>
          <w:sz w:val="24"/>
          <w:szCs w:val="24"/>
          <w:lang w:val="en-US"/>
        </w:rPr>
        <w:t>. Upon coordination, the electronic and physicochemical properties of the ligand framework are often modified, giving rise to complexes with distinct magnetic, spectral, and biological characteristics compared to the free ligands</w:t>
      </w:r>
      <w:r w:rsidR="00E36E76">
        <w:rPr>
          <w:rFonts w:ascii="Times New Roman" w:eastAsia="Times New Roman" w:hAnsi="Times New Roman" w:cs="Times New Roman"/>
          <w:sz w:val="24"/>
          <w:szCs w:val="24"/>
          <w:lang w:val="en-US"/>
        </w:rPr>
        <w:t xml:space="preserve"> (Yadav </w:t>
      </w:r>
      <w:r w:rsidR="00E36E76" w:rsidRPr="00E36E76">
        <w:rPr>
          <w:rFonts w:ascii="Times New Roman" w:eastAsia="Times New Roman" w:hAnsi="Times New Roman" w:cs="Times New Roman"/>
          <w:i/>
          <w:sz w:val="24"/>
          <w:szCs w:val="24"/>
          <w:lang w:val="en-US"/>
        </w:rPr>
        <w:t>et al</w:t>
      </w:r>
      <w:r w:rsidR="00E36E76">
        <w:rPr>
          <w:rFonts w:ascii="Times New Roman" w:eastAsia="Times New Roman" w:hAnsi="Times New Roman" w:cs="Times New Roman"/>
          <w:sz w:val="24"/>
          <w:szCs w:val="24"/>
          <w:lang w:val="en-US"/>
        </w:rPr>
        <w:t>., 2023)</w:t>
      </w:r>
      <w:r w:rsidRPr="003B5159">
        <w:rPr>
          <w:rFonts w:ascii="Times New Roman" w:eastAsia="Times New Roman" w:hAnsi="Times New Roman" w:cs="Times New Roman"/>
          <w:sz w:val="24"/>
          <w:szCs w:val="24"/>
          <w:lang w:val="en-US"/>
        </w:rPr>
        <w:t>.</w:t>
      </w:r>
      <w:r w:rsidR="006340CE">
        <w:rPr>
          <w:rFonts w:ascii="Times New Roman" w:eastAsia="Times New Roman" w:hAnsi="Times New Roman" w:cs="Times New Roman"/>
          <w:sz w:val="24"/>
          <w:szCs w:val="24"/>
          <w:lang w:val="en-US"/>
        </w:rPr>
        <w:t xml:space="preserve"> </w:t>
      </w:r>
    </w:p>
    <w:p w:rsidR="003B5159" w:rsidRPr="003B5159" w:rsidRDefault="003B5159" w:rsidP="003B5159">
      <w:pPr>
        <w:spacing w:before="100" w:beforeAutospacing="1" w:after="100" w:afterAutospacing="1" w:line="480" w:lineRule="auto"/>
        <w:jc w:val="both"/>
        <w:rPr>
          <w:rFonts w:ascii="Times New Roman" w:eastAsia="Times New Roman" w:hAnsi="Times New Roman" w:cs="Times New Roman"/>
          <w:sz w:val="24"/>
          <w:szCs w:val="24"/>
          <w:lang w:val="en-US"/>
        </w:rPr>
      </w:pPr>
      <w:r w:rsidRPr="003B5159">
        <w:rPr>
          <w:rFonts w:ascii="Times New Roman" w:eastAsia="Times New Roman" w:hAnsi="Times New Roman" w:cs="Times New Roman"/>
          <w:sz w:val="24"/>
          <w:szCs w:val="24"/>
          <w:lang w:val="en-US"/>
        </w:rPr>
        <w:t>Among Schiff bases, thiosemicarbazone derivatives are particularly attractive due to the presence of multiple donor atoms, notably nitrogen and sulfur, which allow diverse coordination modes and stabilization of metal ions in various oxidation states</w:t>
      </w:r>
      <w:r w:rsidR="004A3C7B">
        <w:rPr>
          <w:rFonts w:ascii="Times New Roman" w:eastAsia="Times New Roman" w:hAnsi="Times New Roman" w:cs="Times New Roman"/>
          <w:sz w:val="24"/>
          <w:szCs w:val="24"/>
          <w:lang w:val="en-US"/>
        </w:rPr>
        <w:t xml:space="preserve"> (Lobana et al., 2009).</w:t>
      </w:r>
      <w:r w:rsidRPr="003B5159">
        <w:rPr>
          <w:rFonts w:ascii="Times New Roman" w:eastAsia="Times New Roman" w:hAnsi="Times New Roman" w:cs="Times New Roman"/>
          <w:sz w:val="24"/>
          <w:szCs w:val="24"/>
          <w:lang w:val="en-US"/>
        </w:rPr>
        <w:t xml:space="preserve"> The incorporation of heterocyclic moieties such as furan further enhances π-electron delocalization and can influence redox behavior and biological activity</w:t>
      </w:r>
      <w:r w:rsidR="005728EA">
        <w:rPr>
          <w:rFonts w:ascii="Times New Roman" w:eastAsia="Times New Roman" w:hAnsi="Times New Roman" w:cs="Times New Roman"/>
          <w:sz w:val="24"/>
          <w:szCs w:val="24"/>
          <w:lang w:val="en-US"/>
        </w:rPr>
        <w:t xml:space="preserve"> (</w:t>
      </w:r>
      <w:r w:rsidR="005728EA" w:rsidRPr="005728EA">
        <w:rPr>
          <w:rStyle w:val="Strong"/>
          <w:rFonts w:ascii="Times New Roman" w:hAnsi="Times New Roman" w:cs="Times New Roman"/>
          <w:b w:val="0"/>
          <w:sz w:val="24"/>
          <w:szCs w:val="24"/>
        </w:rPr>
        <w:t>Reis</w:t>
      </w:r>
      <w:r w:rsidR="005728EA">
        <w:rPr>
          <w:rStyle w:val="Strong"/>
          <w:rFonts w:ascii="Times New Roman" w:hAnsi="Times New Roman" w:cs="Times New Roman"/>
          <w:b w:val="0"/>
          <w:sz w:val="24"/>
          <w:szCs w:val="24"/>
        </w:rPr>
        <w:t xml:space="preserve"> et al</w:t>
      </w:r>
      <w:r w:rsidRPr="003B5159">
        <w:rPr>
          <w:rFonts w:ascii="Times New Roman" w:eastAsia="Times New Roman" w:hAnsi="Times New Roman" w:cs="Times New Roman"/>
          <w:sz w:val="24"/>
          <w:szCs w:val="24"/>
          <w:lang w:val="en-US"/>
        </w:rPr>
        <w:t>.</w:t>
      </w:r>
      <w:r w:rsidR="005728EA">
        <w:rPr>
          <w:rFonts w:ascii="Times New Roman" w:eastAsia="Times New Roman" w:hAnsi="Times New Roman" w:cs="Times New Roman"/>
          <w:sz w:val="24"/>
          <w:szCs w:val="24"/>
          <w:lang w:val="en-US"/>
        </w:rPr>
        <w:t>, 2019).</w:t>
      </w:r>
      <w:r w:rsidRPr="003B5159">
        <w:rPr>
          <w:rFonts w:ascii="Times New Roman" w:eastAsia="Times New Roman" w:hAnsi="Times New Roman" w:cs="Times New Roman"/>
          <w:sz w:val="24"/>
          <w:szCs w:val="24"/>
          <w:lang w:val="en-US"/>
        </w:rPr>
        <w:t xml:space="preserve"> These structural features make heterocyclic thiosemicarbazones suitable candidates for the development of functional metal complexes with potential pharmacological relevance</w:t>
      </w:r>
      <w:r w:rsidR="005728EA">
        <w:rPr>
          <w:rFonts w:ascii="Times New Roman" w:eastAsia="Times New Roman" w:hAnsi="Times New Roman" w:cs="Times New Roman"/>
          <w:sz w:val="24"/>
          <w:szCs w:val="24"/>
          <w:lang w:val="en-US"/>
        </w:rPr>
        <w:t xml:space="preserve"> (Beraldo and Gambino, 2018).</w:t>
      </w:r>
    </w:p>
    <w:p w:rsidR="003B5159" w:rsidRPr="003B5159" w:rsidRDefault="003B5159" w:rsidP="003B5159">
      <w:pPr>
        <w:spacing w:before="100" w:beforeAutospacing="1" w:after="100" w:afterAutospacing="1" w:line="480" w:lineRule="auto"/>
        <w:jc w:val="both"/>
        <w:rPr>
          <w:rFonts w:ascii="Times New Roman" w:eastAsia="Times New Roman" w:hAnsi="Times New Roman" w:cs="Times New Roman"/>
          <w:sz w:val="24"/>
          <w:szCs w:val="24"/>
          <w:lang w:val="en-US"/>
        </w:rPr>
      </w:pPr>
      <w:r w:rsidRPr="003B5159">
        <w:rPr>
          <w:rFonts w:ascii="Times New Roman" w:eastAsia="Times New Roman" w:hAnsi="Times New Roman" w:cs="Times New Roman"/>
          <w:sz w:val="24"/>
          <w:szCs w:val="24"/>
          <w:lang w:val="en-US"/>
        </w:rPr>
        <w:t>Metal complexation has frequently been associated with improved biological activity relative to free ligands. According to chelation theory, coordination reduces the polarity of the metal ion through partial charge sharing with donor atoms and delocalization of π-electrons across the chelate ring</w:t>
      </w:r>
      <w:r w:rsidR="005728EA">
        <w:rPr>
          <w:rFonts w:ascii="Times New Roman" w:eastAsia="Times New Roman" w:hAnsi="Times New Roman" w:cs="Times New Roman"/>
          <w:sz w:val="24"/>
          <w:szCs w:val="24"/>
          <w:lang w:val="en-US"/>
        </w:rPr>
        <w:t xml:space="preserve"> (Kowol </w:t>
      </w:r>
      <w:r w:rsidR="005728EA" w:rsidRPr="005728EA">
        <w:rPr>
          <w:rFonts w:ascii="Times New Roman" w:eastAsia="Times New Roman" w:hAnsi="Times New Roman" w:cs="Times New Roman"/>
          <w:i/>
          <w:sz w:val="24"/>
          <w:szCs w:val="24"/>
          <w:lang w:val="en-US"/>
        </w:rPr>
        <w:t>et al</w:t>
      </w:r>
      <w:r w:rsidR="005728EA">
        <w:rPr>
          <w:rFonts w:ascii="Times New Roman" w:eastAsia="Times New Roman" w:hAnsi="Times New Roman" w:cs="Times New Roman"/>
          <w:sz w:val="24"/>
          <w:szCs w:val="24"/>
          <w:lang w:val="en-US"/>
        </w:rPr>
        <w:t>., 2016).</w:t>
      </w:r>
      <w:r w:rsidRPr="003B5159">
        <w:rPr>
          <w:rFonts w:ascii="Times New Roman" w:eastAsia="Times New Roman" w:hAnsi="Times New Roman" w:cs="Times New Roman"/>
          <w:sz w:val="24"/>
          <w:szCs w:val="24"/>
          <w:lang w:val="en-US"/>
        </w:rPr>
        <w:t xml:space="preserve"> This process can enhance lipophilicity, facilitating membrane permeation and enabling metal-mediated interactions with biomolecular targets. Transition metals such as Ni(II), Cu(II), and Zn(II) readily form stable complexes with </w:t>
      </w:r>
      <w:r w:rsidRPr="003B5159">
        <w:rPr>
          <w:rFonts w:ascii="Times New Roman" w:eastAsia="Times New Roman" w:hAnsi="Times New Roman" w:cs="Times New Roman"/>
          <w:sz w:val="24"/>
          <w:szCs w:val="24"/>
          <w:lang w:val="en-US"/>
        </w:rPr>
        <w:lastRenderedPageBreak/>
        <w:t>nitrogen- and sulfur-containing ligands and have been widely investigated for their antimicrobial potential</w:t>
      </w:r>
      <w:r w:rsidR="005728EA">
        <w:rPr>
          <w:rFonts w:ascii="Times New Roman" w:eastAsia="Times New Roman" w:hAnsi="Times New Roman" w:cs="Times New Roman"/>
          <w:sz w:val="24"/>
          <w:szCs w:val="24"/>
          <w:lang w:val="en-US"/>
        </w:rPr>
        <w:t xml:space="preserve"> (</w:t>
      </w:r>
      <w:r w:rsidR="005728EA" w:rsidRPr="005728EA">
        <w:rPr>
          <w:rStyle w:val="Strong"/>
          <w:rFonts w:ascii="Times New Roman" w:hAnsi="Times New Roman" w:cs="Times New Roman"/>
          <w:b w:val="0"/>
          <w:sz w:val="24"/>
          <w:szCs w:val="24"/>
        </w:rPr>
        <w:t>Reis</w:t>
      </w:r>
      <w:r w:rsidR="005728EA">
        <w:rPr>
          <w:rStyle w:val="Strong"/>
          <w:rFonts w:ascii="Times New Roman" w:hAnsi="Times New Roman" w:cs="Times New Roman"/>
          <w:b w:val="0"/>
          <w:sz w:val="24"/>
          <w:szCs w:val="24"/>
        </w:rPr>
        <w:t xml:space="preserve"> </w:t>
      </w:r>
      <w:r w:rsidR="005728EA" w:rsidRPr="00A56F04">
        <w:rPr>
          <w:rStyle w:val="Strong"/>
          <w:rFonts w:ascii="Times New Roman" w:hAnsi="Times New Roman" w:cs="Times New Roman"/>
          <w:b w:val="0"/>
          <w:i/>
          <w:sz w:val="24"/>
          <w:szCs w:val="24"/>
        </w:rPr>
        <w:t>et al</w:t>
      </w:r>
      <w:r w:rsidR="005728EA" w:rsidRPr="003B5159">
        <w:rPr>
          <w:rFonts w:ascii="Times New Roman" w:eastAsia="Times New Roman" w:hAnsi="Times New Roman" w:cs="Times New Roman"/>
          <w:sz w:val="24"/>
          <w:szCs w:val="24"/>
          <w:lang w:val="en-US"/>
        </w:rPr>
        <w:t>.</w:t>
      </w:r>
      <w:r w:rsidR="005728EA">
        <w:rPr>
          <w:rFonts w:ascii="Times New Roman" w:eastAsia="Times New Roman" w:hAnsi="Times New Roman" w:cs="Times New Roman"/>
          <w:sz w:val="24"/>
          <w:szCs w:val="24"/>
          <w:lang w:val="en-US"/>
        </w:rPr>
        <w:t>, 2019)</w:t>
      </w:r>
      <w:r w:rsidRPr="003B5159">
        <w:rPr>
          <w:rFonts w:ascii="Times New Roman" w:eastAsia="Times New Roman" w:hAnsi="Times New Roman" w:cs="Times New Roman"/>
          <w:sz w:val="24"/>
          <w:szCs w:val="24"/>
          <w:lang w:val="en-US"/>
        </w:rPr>
        <w:t>.</w:t>
      </w:r>
    </w:p>
    <w:p w:rsidR="003B5159" w:rsidRPr="003B5159" w:rsidRDefault="003B5159" w:rsidP="003B5159">
      <w:pPr>
        <w:spacing w:before="100" w:beforeAutospacing="1" w:after="100" w:afterAutospacing="1" w:line="480" w:lineRule="auto"/>
        <w:jc w:val="both"/>
        <w:rPr>
          <w:rFonts w:ascii="Times New Roman" w:eastAsia="Times New Roman" w:hAnsi="Times New Roman" w:cs="Times New Roman"/>
          <w:sz w:val="24"/>
          <w:szCs w:val="24"/>
          <w:lang w:val="en-US"/>
        </w:rPr>
      </w:pPr>
      <w:r w:rsidRPr="003B5159">
        <w:rPr>
          <w:rFonts w:ascii="Times New Roman" w:eastAsia="Times New Roman" w:hAnsi="Times New Roman" w:cs="Times New Roman"/>
          <w:sz w:val="24"/>
          <w:szCs w:val="24"/>
          <w:lang w:val="en-US"/>
        </w:rPr>
        <w:t xml:space="preserve">Despite numerous reports on thiosemicarbazone-based metal complexes, systematic studies examining the influence of 2-acetylfuran-derived thiosemicarbazone ligands on the antibacterial behavior of Ni(II), Cu(II), and Zn(II) complexes remain limited. In this context, the present study focuses on the synthesis and physicochemical characterization of a 2-acetylfuran thiosemicarbazone ligand and its corresponding metal(II) complexes, followed by </w:t>
      </w:r>
      <w:r w:rsidRPr="003B5159">
        <w:rPr>
          <w:rFonts w:ascii="Times New Roman" w:eastAsia="Times New Roman" w:hAnsi="Times New Roman" w:cs="Times New Roman"/>
          <w:i/>
          <w:sz w:val="24"/>
          <w:szCs w:val="24"/>
          <w:lang w:val="en-US"/>
        </w:rPr>
        <w:t>in vitro</w:t>
      </w:r>
      <w:r w:rsidRPr="003B5159">
        <w:rPr>
          <w:rFonts w:ascii="Times New Roman" w:eastAsia="Times New Roman" w:hAnsi="Times New Roman" w:cs="Times New Roman"/>
          <w:sz w:val="24"/>
          <w:szCs w:val="24"/>
          <w:lang w:val="en-US"/>
        </w:rPr>
        <w:t xml:space="preserve"> antibacterial evaluation against representative Gram-positive and Gram-negative bacterial strains.</w:t>
      </w:r>
    </w:p>
    <w:p w:rsidR="00BD7CA4" w:rsidRPr="00A318E8" w:rsidRDefault="00695E5F">
      <w:pPr>
        <w:rPr>
          <w:rFonts w:ascii="Times New Roman" w:hAnsi="Times New Roman" w:cs="Times New Roman"/>
          <w:b/>
          <w:sz w:val="24"/>
          <w:szCs w:val="24"/>
        </w:rPr>
      </w:pPr>
      <w:r w:rsidRPr="00A318E8">
        <w:rPr>
          <w:rFonts w:ascii="Times New Roman" w:hAnsi="Times New Roman" w:cs="Times New Roman"/>
          <w:b/>
          <w:sz w:val="24"/>
          <w:szCs w:val="24"/>
        </w:rPr>
        <w:t xml:space="preserve">Materials and Methods </w:t>
      </w:r>
    </w:p>
    <w:p w:rsidR="00A80DEB" w:rsidRDefault="00A80DEB" w:rsidP="00FB694F">
      <w:pPr>
        <w:spacing w:line="480" w:lineRule="auto"/>
        <w:jc w:val="both"/>
        <w:rPr>
          <w:rFonts w:ascii="Times New Roman" w:hAnsi="Times New Roman" w:cs="Times New Roman"/>
          <w:sz w:val="24"/>
          <w:szCs w:val="24"/>
        </w:rPr>
      </w:pPr>
      <w:r w:rsidRPr="00A318E8">
        <w:rPr>
          <w:rFonts w:ascii="Times New Roman" w:hAnsi="Times New Roman" w:cs="Times New Roman"/>
          <w:sz w:val="24"/>
          <w:szCs w:val="24"/>
        </w:rPr>
        <w:t xml:space="preserve">All chemicals and solvents used were of analytical grade and were obtained from Sigma-Aldrich and used without further purification. The thiosemicarbazide and </w:t>
      </w:r>
      <w:r w:rsidR="0072380F" w:rsidRPr="00A318E8">
        <w:rPr>
          <w:rFonts w:ascii="Times New Roman" w:hAnsi="Times New Roman" w:cs="Times New Roman"/>
          <w:sz w:val="24"/>
          <w:szCs w:val="24"/>
        </w:rPr>
        <w:t>2-a</w:t>
      </w:r>
      <w:r w:rsidR="003B5159">
        <w:rPr>
          <w:rFonts w:ascii="Times New Roman" w:hAnsi="Times New Roman" w:cs="Times New Roman"/>
          <w:sz w:val="24"/>
          <w:szCs w:val="24"/>
        </w:rPr>
        <w:t>c</w:t>
      </w:r>
      <w:r w:rsidR="0072380F" w:rsidRPr="00A318E8">
        <w:rPr>
          <w:rFonts w:ascii="Times New Roman" w:hAnsi="Times New Roman" w:cs="Times New Roman"/>
          <w:sz w:val="24"/>
          <w:szCs w:val="24"/>
        </w:rPr>
        <w:t>etylfuran</w:t>
      </w:r>
      <w:r w:rsidRPr="00A318E8">
        <w:rPr>
          <w:rFonts w:ascii="Times New Roman" w:hAnsi="Times New Roman" w:cs="Times New Roman"/>
          <w:sz w:val="24"/>
          <w:szCs w:val="24"/>
        </w:rPr>
        <w:t xml:space="preserve"> were also purchased from Sigma-Aldrich. Glassware was thoroughly cleaned with detergent, rinsed with distilled water, and oven-dried at 110 °C prior to use. Weighing was carried out using a Mettler balance (Model AB54). Melting points and decomposition temperatures were determined using a Gallenkamp SMP10 melting point apparatus. Molar conductivity measurements of the synthesized thiosemicarbazone and its metal</w:t>
      </w:r>
      <w:r w:rsidR="005604BF" w:rsidRPr="00A318E8">
        <w:rPr>
          <w:rFonts w:ascii="Times New Roman" w:hAnsi="Times New Roman" w:cs="Times New Roman"/>
          <w:sz w:val="24"/>
          <w:szCs w:val="24"/>
        </w:rPr>
        <w:t xml:space="preserve"> </w:t>
      </w:r>
      <w:r w:rsidRPr="00A318E8">
        <w:rPr>
          <w:rFonts w:ascii="Times New Roman" w:hAnsi="Times New Roman" w:cs="Times New Roman"/>
          <w:sz w:val="24"/>
          <w:szCs w:val="24"/>
        </w:rPr>
        <w:t xml:space="preserve">(II) complexes were performed in DMSO at room temperature using a Jenway conductivity meter (Model 4010) to assess their electrolytic nature. Magnetic susceptibility measurements were obtained at room temperature using a Sherwood magnetic susceptibility balance to determine the magnetic behavior of the complexes. Infrared spectra were recorded on a Cary 630 FTIR spectrometer (Agilent Technologies) in the range 4000–400 cm⁻¹ to identify functional groups and confirm metal–ligand coordination. Electronic absorption spectra were measured between 200–600 nm using a PerkinElmer Lambda 35 UV–Visible spectrophotometer to investigate ligand-centered, </w:t>
      </w:r>
      <w:r w:rsidRPr="00A318E8">
        <w:rPr>
          <w:rFonts w:ascii="Times New Roman" w:hAnsi="Times New Roman" w:cs="Times New Roman"/>
          <w:sz w:val="24"/>
          <w:szCs w:val="24"/>
        </w:rPr>
        <w:lastRenderedPageBreak/>
        <w:t xml:space="preserve">charge-transfer, and d–d transitions. </w:t>
      </w:r>
      <w:r w:rsidR="0072380F" w:rsidRPr="00A318E8">
        <w:rPr>
          <w:rFonts w:ascii="Times New Roman" w:hAnsi="Times New Roman" w:cs="Times New Roman"/>
          <w:sz w:val="24"/>
          <w:szCs w:val="24"/>
        </w:rPr>
        <w:t xml:space="preserve">AAS </w:t>
      </w:r>
      <w:r w:rsidR="00D74E45" w:rsidRPr="00A318E8">
        <w:rPr>
          <w:rFonts w:ascii="Times New Roman" w:hAnsi="Times New Roman" w:cs="Times New Roman"/>
          <w:sz w:val="24"/>
          <w:szCs w:val="24"/>
        </w:rPr>
        <w:t>(</w:t>
      </w:r>
      <w:r w:rsidR="000015B6" w:rsidRPr="00A318E8">
        <w:rPr>
          <w:rFonts w:ascii="Times New Roman" w:hAnsi="Times New Roman" w:cs="Times New Roman"/>
          <w:sz w:val="24"/>
          <w:szCs w:val="24"/>
        </w:rPr>
        <w:t xml:space="preserve">PinAAcle </w:t>
      </w:r>
      <w:r w:rsidR="00D74E45" w:rsidRPr="00A318E8">
        <w:rPr>
          <w:rFonts w:ascii="Times New Roman" w:hAnsi="Times New Roman" w:cs="Times New Roman"/>
          <w:sz w:val="24"/>
          <w:szCs w:val="24"/>
        </w:rPr>
        <w:t>900H) was used to determine met</w:t>
      </w:r>
      <w:r w:rsidR="000015B6" w:rsidRPr="00A318E8">
        <w:rPr>
          <w:rFonts w:ascii="Times New Roman" w:hAnsi="Times New Roman" w:cs="Times New Roman"/>
          <w:sz w:val="24"/>
          <w:szCs w:val="24"/>
        </w:rPr>
        <w:t>al percentage</w:t>
      </w:r>
      <w:r w:rsidR="0072380F" w:rsidRPr="00A318E8">
        <w:rPr>
          <w:rFonts w:ascii="Times New Roman" w:hAnsi="Times New Roman" w:cs="Times New Roman"/>
          <w:sz w:val="24"/>
          <w:szCs w:val="24"/>
        </w:rPr>
        <w:t xml:space="preserve">. </w:t>
      </w:r>
      <w:r w:rsidRPr="00A318E8">
        <w:rPr>
          <w:rFonts w:ascii="Times New Roman" w:hAnsi="Times New Roman" w:cs="Times New Roman"/>
          <w:sz w:val="24"/>
          <w:szCs w:val="24"/>
        </w:rPr>
        <w:t xml:space="preserve">Elemental analyses (C, H, N, S) were carried out using a PerkinElmer Series II CHNS/O 2400 analyzer. </w:t>
      </w:r>
    </w:p>
    <w:p w:rsidR="00880422" w:rsidRPr="00A318E8" w:rsidRDefault="00880422" w:rsidP="00880422">
      <w:pPr>
        <w:spacing w:line="480" w:lineRule="auto"/>
        <w:jc w:val="both"/>
        <w:rPr>
          <w:rFonts w:ascii="Times New Roman" w:eastAsia="Times New Roman" w:hAnsi="Times New Roman" w:cs="Times New Roman"/>
          <w:b/>
          <w:bCs/>
          <w:sz w:val="24"/>
          <w:szCs w:val="24"/>
          <w:lang w:val="en-US"/>
        </w:rPr>
      </w:pPr>
      <w:r w:rsidRPr="00A318E8">
        <w:rPr>
          <w:rFonts w:ascii="Times New Roman" w:eastAsia="Times New Roman" w:hAnsi="Times New Roman" w:cs="Times New Roman"/>
          <w:b/>
          <w:bCs/>
          <w:sz w:val="24"/>
          <w:szCs w:val="24"/>
          <w:lang w:val="en-US"/>
        </w:rPr>
        <w:t>Synthesis of Thiosemicarbazone Ligand (L)</w:t>
      </w:r>
    </w:p>
    <w:p w:rsidR="00880422" w:rsidRPr="00A318E8" w:rsidRDefault="00880422" w:rsidP="00880422">
      <w:pPr>
        <w:spacing w:line="480" w:lineRule="auto"/>
        <w:jc w:val="both"/>
        <w:rPr>
          <w:rFonts w:ascii="Times New Roman" w:hAnsi="Times New Roman" w:cs="Times New Roman"/>
          <w:b/>
          <w:sz w:val="24"/>
          <w:szCs w:val="24"/>
        </w:rPr>
      </w:pPr>
      <w:r w:rsidRPr="00A318E8">
        <w:rPr>
          <w:rFonts w:ascii="Times New Roman" w:eastAsia="Times New Roman" w:hAnsi="Times New Roman" w:cs="Times New Roman"/>
          <w:sz w:val="24"/>
          <w:szCs w:val="24"/>
          <w:lang w:val="en-US"/>
        </w:rPr>
        <w:t xml:space="preserve">The ligand was synthesized by refluxing 20 cm³ ethanolic solutions of </w:t>
      </w:r>
      <w:r w:rsidRPr="00A318E8">
        <w:rPr>
          <w:rFonts w:ascii="Times New Roman" w:eastAsia="Times New Roman" w:hAnsi="Times New Roman" w:cs="Times New Roman"/>
          <w:bCs/>
          <w:sz w:val="24"/>
          <w:szCs w:val="24"/>
          <w:lang w:val="en-US"/>
        </w:rPr>
        <w:t>thiosemicarbazide (1.05 g, 10 mmol)</w:t>
      </w:r>
      <w:r w:rsidRPr="00A318E8">
        <w:rPr>
          <w:rFonts w:ascii="Times New Roman" w:eastAsia="Times New Roman" w:hAnsi="Times New Roman" w:cs="Times New Roman"/>
          <w:sz w:val="24"/>
          <w:szCs w:val="24"/>
          <w:lang w:val="en-US"/>
        </w:rPr>
        <w:t xml:space="preserve"> and </w:t>
      </w:r>
      <w:r w:rsidRPr="00A318E8">
        <w:rPr>
          <w:rFonts w:ascii="Times New Roman" w:eastAsia="Times New Roman" w:hAnsi="Times New Roman" w:cs="Times New Roman"/>
          <w:bCs/>
          <w:sz w:val="24"/>
          <w:szCs w:val="24"/>
          <w:lang w:val="en-US"/>
        </w:rPr>
        <w:t>2-acetylfuran (0.95 g, 10 mmol)</w:t>
      </w:r>
      <w:r w:rsidRPr="00A318E8">
        <w:rPr>
          <w:rFonts w:ascii="Times New Roman" w:eastAsia="Times New Roman" w:hAnsi="Times New Roman" w:cs="Times New Roman"/>
          <w:sz w:val="24"/>
          <w:szCs w:val="24"/>
          <w:lang w:val="en-US"/>
        </w:rPr>
        <w:t xml:space="preserve"> with a few drops of glacial acetic acid at ~80 °C for 4 h. Upon cooling, a yellow solid precipitate formed, which was filtered, washed with diethyl ether, recrystallized from methanol, and dried over anhydrous CaCl₂ (</w:t>
      </w:r>
      <w:r w:rsidR="00C3124A" w:rsidRPr="00A318E8">
        <w:rPr>
          <w:rFonts w:ascii="Times New Roman" w:eastAsia="Times New Roman" w:hAnsi="Times New Roman" w:cs="Times New Roman"/>
          <w:sz w:val="24"/>
          <w:szCs w:val="24"/>
          <w:lang w:val="en-US"/>
        </w:rPr>
        <w:t>20</w:t>
      </w:r>
      <w:r w:rsidRPr="00A318E8">
        <w:rPr>
          <w:rFonts w:ascii="Times New Roman" w:eastAsia="Times New Roman" w:hAnsi="Times New Roman" w:cs="Times New Roman"/>
          <w:sz w:val="24"/>
          <w:szCs w:val="24"/>
          <w:lang w:val="en-US"/>
        </w:rPr>
        <w:t>) as shown in Scheme 1.</w:t>
      </w:r>
    </w:p>
    <w:p w:rsidR="00880422" w:rsidRPr="00A318E8" w:rsidRDefault="00FF2610" w:rsidP="00C3124A">
      <w:pPr>
        <w:spacing w:line="480" w:lineRule="auto"/>
        <w:jc w:val="both"/>
        <w:rPr>
          <w:rFonts w:ascii="Times New Roman" w:hAnsi="Times New Roman" w:cs="Times New Roman"/>
        </w:rPr>
      </w:pPr>
      <w:r w:rsidRPr="00A318E8">
        <w:rPr>
          <w:rFonts w:ascii="Times New Roman" w:hAnsi="Times New Roman" w:cs="Times New Roman"/>
        </w:rPr>
        <w:object w:dxaOrig="10596" w:dyaOrig="6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22.75pt" o:ole="">
            <v:imagedata r:id="rId9" o:title=""/>
          </v:shape>
          <o:OLEObject Type="Embed" ProgID="ChemDraw.Document.6.0" ShapeID="_x0000_i1025" DrawAspect="Content" ObjectID="_1843130008" r:id="rId10"/>
        </w:object>
      </w:r>
      <w:r w:rsidR="000E3CAD" w:rsidRPr="00A318E8">
        <w:rPr>
          <w:rFonts w:ascii="Times New Roman" w:hAnsi="Times New Roman" w:cs="Times New Roman"/>
          <w:sz w:val="24"/>
          <w:szCs w:val="24"/>
        </w:rPr>
        <w:t xml:space="preserve">Fig 1: Scheme for the </w:t>
      </w:r>
      <w:r w:rsidR="001A73AF" w:rsidRPr="00A318E8">
        <w:rPr>
          <w:rFonts w:ascii="Times New Roman" w:hAnsi="Times New Roman" w:cs="Times New Roman"/>
          <w:sz w:val="24"/>
          <w:szCs w:val="24"/>
        </w:rPr>
        <w:t>S</w:t>
      </w:r>
      <w:r w:rsidR="000E3CAD" w:rsidRPr="00A318E8">
        <w:rPr>
          <w:rFonts w:ascii="Times New Roman" w:hAnsi="Times New Roman" w:cs="Times New Roman"/>
          <w:sz w:val="24"/>
          <w:szCs w:val="24"/>
        </w:rPr>
        <w:t xml:space="preserve">ynthesis of </w:t>
      </w:r>
      <w:r w:rsidR="001A73AF" w:rsidRPr="00A318E8">
        <w:rPr>
          <w:rFonts w:ascii="Times New Roman" w:hAnsi="Times New Roman" w:cs="Times New Roman"/>
          <w:sz w:val="24"/>
          <w:szCs w:val="24"/>
        </w:rPr>
        <w:t>Thiosemicarbazone and its Complexes</w:t>
      </w:r>
    </w:p>
    <w:p w:rsidR="00880422" w:rsidRPr="00A318E8" w:rsidRDefault="00880422" w:rsidP="00FF2610">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A318E8">
        <w:rPr>
          <w:rFonts w:ascii="Times New Roman" w:eastAsia="Times New Roman" w:hAnsi="Times New Roman" w:cs="Times New Roman"/>
          <w:b/>
          <w:bCs/>
          <w:sz w:val="24"/>
          <w:szCs w:val="24"/>
          <w:lang w:val="en-US"/>
        </w:rPr>
        <w:t xml:space="preserve">Analytical and Spectral Data of </w:t>
      </w:r>
      <w:r w:rsidRPr="00A318E8">
        <w:rPr>
          <w:rFonts w:ascii="Times New Roman" w:hAnsi="Times New Roman" w:cs="Times New Roman"/>
          <w:b/>
          <w:sz w:val="24"/>
          <w:szCs w:val="24"/>
        </w:rPr>
        <w:t xml:space="preserve">Thiosemicarbazone </w:t>
      </w:r>
    </w:p>
    <w:p w:rsidR="001A73AF" w:rsidRPr="00A318E8" w:rsidRDefault="00880422" w:rsidP="00880422">
      <w:pPr>
        <w:spacing w:before="100" w:beforeAutospacing="1" w:after="100" w:afterAutospacing="1" w:line="480" w:lineRule="auto"/>
        <w:jc w:val="both"/>
        <w:rPr>
          <w:rFonts w:ascii="Times New Roman" w:eastAsia="Times New Roman" w:hAnsi="Times New Roman" w:cs="Times New Roman"/>
          <w:b/>
          <w:bCs/>
          <w:sz w:val="24"/>
          <w:szCs w:val="24"/>
          <w:lang w:val="en-US"/>
        </w:rPr>
      </w:pPr>
      <w:r w:rsidRPr="00A318E8">
        <w:rPr>
          <w:rFonts w:ascii="Times New Roman" w:eastAsia="Times New Roman" w:hAnsi="Times New Roman" w:cs="Times New Roman"/>
          <w:sz w:val="24"/>
          <w:szCs w:val="24"/>
          <w:lang w:val="en-US"/>
        </w:rPr>
        <w:t>Physical yield (</w:t>
      </w:r>
      <w:r w:rsidR="000E3CAD" w:rsidRPr="00A318E8">
        <w:rPr>
          <w:rFonts w:ascii="Times New Roman" w:eastAsia="Times New Roman" w:hAnsi="Times New Roman" w:cs="Times New Roman"/>
          <w:bCs/>
          <w:sz w:val="24"/>
          <w:szCs w:val="24"/>
          <w:lang w:val="en-US"/>
        </w:rPr>
        <w:t>73.1%</w:t>
      </w:r>
      <w:r w:rsidRPr="00A318E8">
        <w:rPr>
          <w:rFonts w:ascii="Times New Roman" w:eastAsia="Times New Roman" w:hAnsi="Times New Roman" w:cs="Times New Roman"/>
          <w:bCs/>
          <w:sz w:val="24"/>
          <w:szCs w:val="24"/>
          <w:lang w:val="en-US"/>
        </w:rPr>
        <w:t>)</w:t>
      </w:r>
      <w:r w:rsidR="000E3CAD" w:rsidRPr="00A318E8">
        <w:rPr>
          <w:rFonts w:ascii="Times New Roman" w:eastAsia="Times New Roman" w:hAnsi="Times New Roman" w:cs="Times New Roman"/>
          <w:bCs/>
          <w:sz w:val="24"/>
          <w:szCs w:val="24"/>
          <w:lang w:val="en-US"/>
        </w:rPr>
        <w:t xml:space="preserve"> yield</w:t>
      </w:r>
      <w:r w:rsidRPr="00A318E8">
        <w:rPr>
          <w:rFonts w:ascii="Times New Roman" w:eastAsia="Times New Roman" w:hAnsi="Times New Roman" w:cs="Times New Roman"/>
          <w:bCs/>
          <w:sz w:val="24"/>
          <w:szCs w:val="24"/>
          <w:lang w:val="en-US"/>
        </w:rPr>
        <w:t xml:space="preserve">; </w:t>
      </w:r>
      <w:r w:rsidRPr="00A318E8">
        <w:rPr>
          <w:rFonts w:ascii="Times New Roman" w:eastAsia="Times New Roman" w:hAnsi="Times New Roman" w:cs="Times New Roman"/>
          <w:sz w:val="24"/>
          <w:szCs w:val="24"/>
          <w:lang w:val="en-US"/>
        </w:rPr>
        <w:t>M.P</w:t>
      </w:r>
      <w:r w:rsidR="000E3CAD" w:rsidRPr="00A318E8">
        <w:rPr>
          <w:rFonts w:ascii="Times New Roman" w:eastAsia="Times New Roman" w:hAnsi="Times New Roman" w:cs="Times New Roman"/>
          <w:sz w:val="24"/>
          <w:szCs w:val="24"/>
          <w:lang w:val="en-US"/>
        </w:rPr>
        <w:t xml:space="preserve"> of </w:t>
      </w:r>
      <w:r w:rsidR="000E3CAD" w:rsidRPr="00A318E8">
        <w:rPr>
          <w:rFonts w:ascii="Times New Roman" w:eastAsia="Times New Roman" w:hAnsi="Times New Roman" w:cs="Times New Roman"/>
          <w:bCs/>
          <w:sz w:val="24"/>
          <w:szCs w:val="24"/>
          <w:lang w:val="en-US"/>
        </w:rPr>
        <w:t>179 °C</w:t>
      </w:r>
      <w:r w:rsidRPr="00A318E8">
        <w:rPr>
          <w:rFonts w:ascii="Times New Roman" w:eastAsia="Times New Roman" w:hAnsi="Times New Roman" w:cs="Times New Roman"/>
          <w:sz w:val="24"/>
          <w:szCs w:val="24"/>
          <w:lang w:val="en-US"/>
        </w:rPr>
        <w:t xml:space="preserve">; </w:t>
      </w:r>
      <w:r w:rsidR="000E3CAD" w:rsidRPr="00A318E8">
        <w:rPr>
          <w:rFonts w:ascii="Times New Roman" w:eastAsia="Times New Roman" w:hAnsi="Times New Roman" w:cs="Times New Roman"/>
          <w:bCs/>
          <w:sz w:val="24"/>
          <w:szCs w:val="24"/>
          <w:lang w:val="en-US"/>
        </w:rPr>
        <w:t>FT-IR (KBr, cm⁻¹)</w:t>
      </w:r>
      <w:r w:rsidR="000E3CAD" w:rsidRPr="00A318E8">
        <w:rPr>
          <w:rFonts w:ascii="Times New Roman" w:eastAsia="Times New Roman" w:hAnsi="Times New Roman" w:cs="Times New Roman"/>
          <w:sz w:val="24"/>
          <w:szCs w:val="24"/>
          <w:lang w:val="en-US"/>
        </w:rPr>
        <w:t xml:space="preserve"> showed bands at 1615 cm⁻¹ (C=N), 1253 cm⁻¹ (C=S), and 829 cm⁻¹ (C–S). The UV</w:t>
      </w:r>
      <w:r w:rsidR="001A73AF" w:rsidRPr="00A318E8">
        <w:rPr>
          <w:rFonts w:ascii="Times New Roman" w:eastAsia="Times New Roman" w:hAnsi="Times New Roman" w:cs="Times New Roman"/>
          <w:sz w:val="24"/>
          <w:szCs w:val="24"/>
          <w:lang w:val="en-US"/>
        </w:rPr>
        <w:t>-V</w:t>
      </w:r>
      <w:r w:rsidR="000E3CAD" w:rsidRPr="00A318E8">
        <w:rPr>
          <w:rFonts w:ascii="Times New Roman" w:eastAsia="Times New Roman" w:hAnsi="Times New Roman" w:cs="Times New Roman"/>
          <w:sz w:val="24"/>
          <w:szCs w:val="24"/>
          <w:lang w:val="en-US"/>
        </w:rPr>
        <w:t xml:space="preserve">is spectrum in DMSO exhibited absorption peaks at 242, 250 nm (π→π*) and 329, 349 nm (n→π*). Elemental analysis for </w:t>
      </w:r>
      <w:r w:rsidR="000E3CAD" w:rsidRPr="00A318E8">
        <w:rPr>
          <w:rFonts w:ascii="Times New Roman" w:eastAsia="Times New Roman" w:hAnsi="Times New Roman" w:cs="Times New Roman"/>
          <w:bCs/>
          <w:sz w:val="24"/>
          <w:szCs w:val="24"/>
          <w:lang w:val="en-US"/>
        </w:rPr>
        <w:t>C₇H₈N₄OS</w:t>
      </w:r>
      <w:r w:rsidR="000E3CAD" w:rsidRPr="00A318E8">
        <w:rPr>
          <w:rFonts w:ascii="Times New Roman" w:eastAsia="Times New Roman" w:hAnsi="Times New Roman" w:cs="Times New Roman"/>
          <w:sz w:val="24"/>
          <w:szCs w:val="24"/>
          <w:lang w:val="en-US"/>
        </w:rPr>
        <w:t xml:space="preserve"> gave calculated values of C 45.90%, H 4.92%, N 22.95%, S 17.49%, and the observed values were C 45.85%, H 4.89%, N 22.44%, S 16.21%. The ligand was soluble in </w:t>
      </w:r>
      <w:r w:rsidR="000E3CAD" w:rsidRPr="00A318E8">
        <w:rPr>
          <w:rFonts w:ascii="Times New Roman" w:eastAsia="Times New Roman" w:hAnsi="Times New Roman" w:cs="Times New Roman"/>
          <w:sz w:val="24"/>
          <w:szCs w:val="24"/>
          <w:lang w:val="en-US"/>
        </w:rPr>
        <w:lastRenderedPageBreak/>
        <w:t>DMSO and DMF, slightly soluble in methanol and ethanol, and insoluble in water and non-polar solvents.</w:t>
      </w:r>
    </w:p>
    <w:p w:rsidR="001A73AF" w:rsidRPr="00A318E8" w:rsidRDefault="000E3CAD" w:rsidP="00FF2610">
      <w:pPr>
        <w:spacing w:before="100" w:beforeAutospacing="1" w:after="100" w:afterAutospacing="1" w:line="240" w:lineRule="auto"/>
        <w:jc w:val="both"/>
        <w:rPr>
          <w:rFonts w:ascii="Times New Roman" w:eastAsia="Times New Roman" w:hAnsi="Times New Roman" w:cs="Times New Roman"/>
          <w:b/>
          <w:sz w:val="24"/>
          <w:szCs w:val="24"/>
          <w:lang w:val="en-US"/>
        </w:rPr>
      </w:pPr>
      <w:r w:rsidRPr="00A318E8">
        <w:rPr>
          <w:rFonts w:ascii="Times New Roman" w:eastAsia="Times New Roman" w:hAnsi="Times New Roman" w:cs="Times New Roman"/>
          <w:b/>
          <w:bCs/>
          <w:sz w:val="24"/>
          <w:szCs w:val="24"/>
          <w:lang w:val="en-US"/>
        </w:rPr>
        <w:t>Synthesis of Metal</w:t>
      </w:r>
      <w:r w:rsidR="001A73AF" w:rsidRPr="00A318E8">
        <w:rPr>
          <w:rFonts w:ascii="Times New Roman" w:eastAsia="Times New Roman" w:hAnsi="Times New Roman" w:cs="Times New Roman"/>
          <w:b/>
          <w:bCs/>
          <w:sz w:val="24"/>
          <w:szCs w:val="24"/>
          <w:lang w:val="en-US"/>
        </w:rPr>
        <w:t xml:space="preserve"> </w:t>
      </w:r>
      <w:r w:rsidRPr="00A318E8">
        <w:rPr>
          <w:rFonts w:ascii="Times New Roman" w:eastAsia="Times New Roman" w:hAnsi="Times New Roman" w:cs="Times New Roman"/>
          <w:b/>
          <w:bCs/>
          <w:sz w:val="24"/>
          <w:szCs w:val="24"/>
          <w:lang w:val="en-US"/>
        </w:rPr>
        <w:t>(II) Complexes</w:t>
      </w:r>
    </w:p>
    <w:p w:rsidR="001A73AF" w:rsidRPr="00A318E8" w:rsidRDefault="000E3CAD" w:rsidP="001A73AF">
      <w:pPr>
        <w:spacing w:before="100" w:beforeAutospacing="1" w:after="100" w:afterAutospacing="1" w:line="480" w:lineRule="auto"/>
        <w:jc w:val="both"/>
        <w:rPr>
          <w:rFonts w:ascii="Times New Roman" w:eastAsia="Times New Roman" w:hAnsi="Times New Roman" w:cs="Times New Roman"/>
          <w:b/>
          <w:sz w:val="24"/>
          <w:szCs w:val="24"/>
          <w:lang w:val="en-US"/>
        </w:rPr>
      </w:pPr>
      <w:r w:rsidRPr="00A318E8">
        <w:rPr>
          <w:rFonts w:ascii="Times New Roman" w:eastAsia="Times New Roman" w:hAnsi="Times New Roman" w:cs="Times New Roman"/>
          <w:sz w:val="24"/>
          <w:szCs w:val="24"/>
          <w:lang w:val="en-US"/>
        </w:rPr>
        <w:t>The metal complexes of the ligand were prepared by adding 20 cm³ of hot ethanolic solution of the ligand (0.73 g, 0.004 mol) dropwise to 20 cm³ of hot ethanolic solution of the respective metal chloride salts (0.002 mol) under constant stirring</w:t>
      </w:r>
      <w:r w:rsidR="00E929D0" w:rsidRPr="00A318E8">
        <w:rPr>
          <w:rFonts w:ascii="Times New Roman" w:eastAsia="Times New Roman" w:hAnsi="Times New Roman" w:cs="Times New Roman"/>
          <w:sz w:val="24"/>
          <w:szCs w:val="24"/>
          <w:lang w:val="en-US"/>
        </w:rPr>
        <w:t xml:space="preserve"> as shown in Scheme 1</w:t>
      </w:r>
      <w:r w:rsidRPr="00A318E8">
        <w:rPr>
          <w:rFonts w:ascii="Times New Roman" w:eastAsia="Times New Roman" w:hAnsi="Times New Roman" w:cs="Times New Roman"/>
          <w:sz w:val="24"/>
          <w:szCs w:val="24"/>
          <w:lang w:val="en-US"/>
        </w:rPr>
        <w:t>. The mixtures were refluxed for 5 h at ~80 °C. The resulting complexes were cooled to room temperature, filtered, washed with diethyl ether, recrystallized from methanol, and stored over anhydrous CaCl₂.</w:t>
      </w:r>
      <w:r w:rsidR="00C3124A" w:rsidRPr="00A318E8">
        <w:rPr>
          <w:rFonts w:ascii="Times New Roman" w:eastAsia="Times New Roman" w:hAnsi="Times New Roman" w:cs="Times New Roman"/>
          <w:sz w:val="24"/>
          <w:szCs w:val="24"/>
          <w:lang w:val="en-US"/>
        </w:rPr>
        <w:t>(20</w:t>
      </w:r>
      <w:r w:rsidR="00E929D0" w:rsidRPr="00A318E8">
        <w:rPr>
          <w:rFonts w:ascii="Times New Roman" w:eastAsia="Times New Roman" w:hAnsi="Times New Roman" w:cs="Times New Roman"/>
          <w:sz w:val="24"/>
          <w:szCs w:val="24"/>
          <w:lang w:val="en-US"/>
        </w:rPr>
        <w:t>).</w:t>
      </w:r>
    </w:p>
    <w:p w:rsidR="001A73AF" w:rsidRPr="00A318E8" w:rsidRDefault="000E3CAD" w:rsidP="00FF2610">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A318E8">
        <w:rPr>
          <w:rFonts w:ascii="Times New Roman" w:eastAsia="Times New Roman" w:hAnsi="Times New Roman" w:cs="Times New Roman"/>
          <w:b/>
          <w:bCs/>
          <w:sz w:val="24"/>
          <w:szCs w:val="24"/>
          <w:lang w:val="en-US"/>
        </w:rPr>
        <w:t xml:space="preserve">Analytical and Spectral Data of </w:t>
      </w:r>
      <w:r w:rsidR="001A73AF" w:rsidRPr="00A318E8">
        <w:rPr>
          <w:rFonts w:ascii="Times New Roman" w:eastAsia="Times New Roman" w:hAnsi="Times New Roman" w:cs="Times New Roman"/>
          <w:b/>
          <w:bCs/>
          <w:sz w:val="24"/>
          <w:szCs w:val="24"/>
          <w:lang w:val="en-US"/>
        </w:rPr>
        <w:t xml:space="preserve">[Ni(L)₂Cl₂]·H₂O  </w:t>
      </w:r>
    </w:p>
    <w:p w:rsidR="000E3CAD" w:rsidRPr="00A318E8" w:rsidRDefault="000E3CAD" w:rsidP="000E3CAD">
      <w:pPr>
        <w:spacing w:before="100" w:beforeAutospacing="1" w:after="100" w:afterAutospacing="1"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 xml:space="preserve">The </w:t>
      </w:r>
      <w:r w:rsidRPr="00A318E8">
        <w:rPr>
          <w:rFonts w:ascii="Times New Roman" w:eastAsia="Times New Roman" w:hAnsi="Times New Roman" w:cs="Times New Roman"/>
          <w:bCs/>
          <w:sz w:val="24"/>
          <w:szCs w:val="24"/>
          <w:lang w:val="en-US"/>
        </w:rPr>
        <w:t>[Ni(L)₂Cl₂]·H₂O</w:t>
      </w:r>
      <w:r w:rsidRPr="00A318E8">
        <w:rPr>
          <w:rFonts w:ascii="Times New Roman" w:eastAsia="Times New Roman" w:hAnsi="Times New Roman" w:cs="Times New Roman"/>
          <w:sz w:val="24"/>
          <w:szCs w:val="24"/>
          <w:lang w:val="en-US"/>
        </w:rPr>
        <w:t xml:space="preserve"> complex was obtained as a light green solid with a decomposition temperature of 217 °C and a yield of 78.8%. Its molar conductance in 10⁻³ M DMSO was 10.3 Ω⁻¹ cm² mol⁻¹, indicating a non-electrolytic nature. Magnetic susceptibility measurements gave an ef</w:t>
      </w:r>
      <w:r w:rsidR="001A73AF" w:rsidRPr="00A318E8">
        <w:rPr>
          <w:rFonts w:ascii="Times New Roman" w:eastAsia="Times New Roman" w:hAnsi="Times New Roman" w:cs="Times New Roman"/>
          <w:sz w:val="24"/>
          <w:szCs w:val="24"/>
          <w:lang w:val="en-US"/>
        </w:rPr>
        <w:t xml:space="preserve">fective magnetic moment of 3.22 </w:t>
      </w:r>
      <w:r w:rsidRPr="00A318E8">
        <w:rPr>
          <w:rFonts w:ascii="Times New Roman" w:eastAsia="Times New Roman" w:hAnsi="Times New Roman" w:cs="Times New Roman"/>
          <w:sz w:val="24"/>
          <w:szCs w:val="24"/>
          <w:lang w:val="en-US"/>
        </w:rPr>
        <w:t>B.M., consistent with an octahedral geometry. FT-IR bands were observed at 3332 cm⁻¹ (O</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H), 1605 cm⁻¹ (C=N), 1227 cm⁻¹ (C=S), 704 cm⁻¹ (C</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566 cm⁻¹ (Ni</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418 cm⁻¹ (Ni</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N), and 336 cm⁻¹ (Ni</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Cl). UV</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Vis absorption peaks appeared at 234 nm (π→π*, C=S), 262 nm (π→π*, C=N), 338 nm (n→π*, C=S), and 353 nm (n→π*, C=N). Elemental analysis revealed C 32.71% (31.79%), H 3.92% (2.29%), N 16.35% (17.64%), S 12.46% (11.49%), and Ni 11.42% (9.99%).</w:t>
      </w:r>
    </w:p>
    <w:p w:rsidR="001A73AF" w:rsidRPr="00A318E8" w:rsidRDefault="001A73AF" w:rsidP="00FF2610">
      <w:pPr>
        <w:spacing w:before="100" w:beforeAutospacing="1" w:after="100" w:afterAutospacing="1" w:line="240" w:lineRule="auto"/>
        <w:jc w:val="both"/>
        <w:rPr>
          <w:rFonts w:ascii="Times New Roman" w:eastAsia="Times New Roman" w:hAnsi="Times New Roman" w:cs="Times New Roman"/>
          <w:b/>
          <w:sz w:val="24"/>
          <w:szCs w:val="24"/>
          <w:lang w:val="en-US"/>
        </w:rPr>
      </w:pPr>
      <w:r w:rsidRPr="00A318E8">
        <w:rPr>
          <w:rFonts w:ascii="Times New Roman" w:eastAsia="Times New Roman" w:hAnsi="Times New Roman" w:cs="Times New Roman"/>
          <w:b/>
          <w:bCs/>
          <w:sz w:val="24"/>
          <w:szCs w:val="24"/>
          <w:lang w:val="en-US"/>
        </w:rPr>
        <w:t>Analytical and Spectral Data of [Cu(L)₂Cl₂]·H₂O</w:t>
      </w:r>
    </w:p>
    <w:p w:rsidR="000E3CAD" w:rsidRPr="00A318E8" w:rsidRDefault="000E3CAD" w:rsidP="000E3CAD">
      <w:pPr>
        <w:spacing w:before="100" w:beforeAutospacing="1" w:after="100" w:afterAutospacing="1"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 xml:space="preserve">The </w:t>
      </w:r>
      <w:r w:rsidRPr="00A318E8">
        <w:rPr>
          <w:rFonts w:ascii="Times New Roman" w:eastAsia="Times New Roman" w:hAnsi="Times New Roman" w:cs="Times New Roman"/>
          <w:bCs/>
          <w:sz w:val="24"/>
          <w:szCs w:val="24"/>
          <w:lang w:val="en-US"/>
        </w:rPr>
        <w:t>[Cu(L)₂Cl₂]·H₂O</w:t>
      </w:r>
      <w:r w:rsidRPr="00A318E8">
        <w:rPr>
          <w:rFonts w:ascii="Times New Roman" w:eastAsia="Times New Roman" w:hAnsi="Times New Roman" w:cs="Times New Roman"/>
          <w:sz w:val="24"/>
          <w:szCs w:val="24"/>
          <w:lang w:val="en-US"/>
        </w:rPr>
        <w:t xml:space="preserve"> complex formed a brown solid with a decomposition temperature of 205 °C and a yield of 71.4%. Its molar conductance was 13.0 Ω⁻¹ cm² mol⁻¹. The magnetic</w:t>
      </w:r>
      <w:r w:rsidR="001A73AF" w:rsidRPr="00A318E8">
        <w:rPr>
          <w:rFonts w:ascii="Times New Roman" w:eastAsia="Times New Roman" w:hAnsi="Times New Roman" w:cs="Times New Roman"/>
          <w:sz w:val="24"/>
          <w:szCs w:val="24"/>
          <w:lang w:val="en-US"/>
        </w:rPr>
        <w:t xml:space="preserve"> moment was 2.11 B.M.</w:t>
      </w:r>
      <w:r w:rsidRPr="00A318E8">
        <w:rPr>
          <w:rFonts w:ascii="Times New Roman" w:eastAsia="Times New Roman" w:hAnsi="Times New Roman" w:cs="Times New Roman"/>
          <w:sz w:val="24"/>
          <w:szCs w:val="24"/>
          <w:lang w:val="en-US"/>
        </w:rPr>
        <w:t xml:space="preserve"> consistent with octahedral geometry. FT-IR peaks were at 3450 cm⁻¹ (O</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H), 1603 cm⁻¹ (C=N), 1173 cm⁻¹ (C=S), 700 cm⁻¹ (C</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581 cm⁻¹ (Cu</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418 cm⁻¹ (Cu</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lastRenderedPageBreak/>
        <w:t>N), and 343 cm⁻¹ (Cu</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Cl). UV</w:t>
      </w:r>
      <w:r w:rsidR="001A73AF"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Vis bands appeared at 239 nm, 262 nm, 339 nm, and 356 nm. Elemental analysis showed C 32.40% (31.53%), H 3.88% (2.56%), N 16.19% (16.35%), S 12.36% (11.99%), and Cu 12.25% (10.75%).</w:t>
      </w:r>
    </w:p>
    <w:p w:rsidR="001A73AF" w:rsidRPr="00A318E8" w:rsidRDefault="001A73AF" w:rsidP="00FF2610">
      <w:pPr>
        <w:spacing w:before="100" w:beforeAutospacing="1" w:after="100" w:afterAutospacing="1" w:line="240" w:lineRule="auto"/>
        <w:jc w:val="both"/>
        <w:rPr>
          <w:rFonts w:ascii="Times New Roman" w:eastAsia="Times New Roman" w:hAnsi="Times New Roman" w:cs="Times New Roman"/>
          <w:b/>
          <w:sz w:val="24"/>
          <w:szCs w:val="24"/>
          <w:lang w:val="en-US"/>
        </w:rPr>
      </w:pPr>
      <w:r w:rsidRPr="00A318E8">
        <w:rPr>
          <w:rFonts w:ascii="Times New Roman" w:eastAsia="Times New Roman" w:hAnsi="Times New Roman" w:cs="Times New Roman"/>
          <w:b/>
          <w:bCs/>
          <w:sz w:val="24"/>
          <w:szCs w:val="24"/>
          <w:lang w:val="en-US"/>
        </w:rPr>
        <w:t>Analytical and Spectral Data of [Zn(L)₂Cl₂]·2H₂O</w:t>
      </w:r>
      <w:r w:rsidRPr="00A318E8">
        <w:rPr>
          <w:rFonts w:ascii="Times New Roman" w:eastAsia="Times New Roman" w:hAnsi="Times New Roman" w:cs="Times New Roman"/>
          <w:b/>
          <w:sz w:val="24"/>
          <w:szCs w:val="24"/>
          <w:lang w:val="en-US"/>
        </w:rPr>
        <w:t xml:space="preserve"> </w:t>
      </w:r>
    </w:p>
    <w:p w:rsidR="005822AD" w:rsidRDefault="000E3CAD" w:rsidP="005822AD">
      <w:pPr>
        <w:spacing w:before="100" w:beforeAutospacing="1" w:after="100" w:afterAutospacing="1" w:line="480" w:lineRule="auto"/>
        <w:jc w:val="both"/>
        <w:rPr>
          <w:rFonts w:ascii="Times New Roman" w:eastAsia="Times New Roman" w:hAnsi="Times New Roman" w:cs="Times New Roman"/>
          <w:b/>
          <w:sz w:val="24"/>
          <w:szCs w:val="24"/>
          <w:lang w:val="en-US"/>
        </w:rPr>
      </w:pPr>
      <w:r w:rsidRPr="00A318E8">
        <w:rPr>
          <w:rFonts w:ascii="Times New Roman" w:eastAsia="Times New Roman" w:hAnsi="Times New Roman" w:cs="Times New Roman"/>
          <w:sz w:val="24"/>
          <w:szCs w:val="24"/>
          <w:lang w:val="en-US"/>
        </w:rPr>
        <w:t xml:space="preserve">The </w:t>
      </w:r>
      <w:r w:rsidRPr="00A318E8">
        <w:rPr>
          <w:rFonts w:ascii="Times New Roman" w:eastAsia="Times New Roman" w:hAnsi="Times New Roman" w:cs="Times New Roman"/>
          <w:bCs/>
          <w:sz w:val="24"/>
          <w:szCs w:val="24"/>
          <w:lang w:val="en-US"/>
        </w:rPr>
        <w:t>[Zn(L)₂Cl₂]·2H₂O</w:t>
      </w:r>
      <w:r w:rsidRPr="00A318E8">
        <w:rPr>
          <w:rFonts w:ascii="Times New Roman" w:eastAsia="Times New Roman" w:hAnsi="Times New Roman" w:cs="Times New Roman"/>
          <w:sz w:val="24"/>
          <w:szCs w:val="24"/>
          <w:lang w:val="en-US"/>
        </w:rPr>
        <w:t xml:space="preserve"> complex was pale yellow, decomposed at 210 °C with a yield of 66.2%, and exhibited diamagnetic behavior. FT-IR spectra showed bands at 3417 cm⁻¹ (O</w:t>
      </w:r>
      <w:r w:rsidR="00C50B18"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H), 1588 cm⁻¹ (C=N), 1274 cm⁻¹ (C=S), 720 cm⁻¹ (C</w:t>
      </w:r>
      <w:r w:rsidR="00C50B18"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581 cm⁻¹ (Zn</w:t>
      </w:r>
      <w:r w:rsidR="00C50B18"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406 cm⁻¹ (Zn</w:t>
      </w:r>
      <w:r w:rsidR="00C50B18"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N), and 351 cm⁻¹ (Zn</w:t>
      </w:r>
      <w:r w:rsidR="00C50B18"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Cl). UV</w:t>
      </w:r>
      <w:r w:rsidR="00C50B18" w:rsidRPr="00A318E8">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Vis peaks were at 248, 263, 338, and 348 nm. Elemental analysis results were C 31.21% (32.46%), H 4.12% (2.16%), N 15.60% (14.20%), S 12.13% (11.43%), and Zn 12.13% (11.09%).</w:t>
      </w:r>
    </w:p>
    <w:p w:rsidR="00482349" w:rsidRPr="005822AD" w:rsidRDefault="0065289D" w:rsidP="005822AD">
      <w:pPr>
        <w:spacing w:before="100" w:beforeAutospacing="1" w:after="100" w:afterAutospacing="1" w:line="240" w:lineRule="auto"/>
        <w:jc w:val="both"/>
        <w:rPr>
          <w:rFonts w:ascii="Times New Roman" w:eastAsia="Times New Roman" w:hAnsi="Times New Roman" w:cs="Times New Roman"/>
          <w:b/>
          <w:sz w:val="24"/>
          <w:szCs w:val="24"/>
          <w:lang w:val="en-US"/>
        </w:rPr>
      </w:pPr>
      <w:r w:rsidRPr="005822AD">
        <w:rPr>
          <w:rFonts w:ascii="Times New Roman" w:eastAsia="Times New Roman" w:hAnsi="Times New Roman" w:cs="Times New Roman"/>
          <w:b/>
          <w:bCs/>
          <w:i/>
          <w:sz w:val="24"/>
          <w:szCs w:val="24"/>
          <w:lang w:val="en-US"/>
        </w:rPr>
        <w:t>In vitro</w:t>
      </w:r>
      <w:r w:rsidRPr="005822AD">
        <w:rPr>
          <w:rFonts w:ascii="Times New Roman" w:eastAsia="Times New Roman" w:hAnsi="Times New Roman" w:cs="Times New Roman"/>
          <w:b/>
          <w:bCs/>
          <w:sz w:val="24"/>
          <w:szCs w:val="24"/>
          <w:lang w:val="en-US"/>
        </w:rPr>
        <w:t xml:space="preserve"> Antibacterial Activity Assay</w:t>
      </w:r>
    </w:p>
    <w:p w:rsidR="00482349" w:rsidRPr="005822AD" w:rsidRDefault="00482349" w:rsidP="005822AD">
      <w:pPr>
        <w:spacing w:before="100" w:beforeAutospacing="1" w:after="100" w:afterAutospacing="1" w:line="480" w:lineRule="auto"/>
        <w:jc w:val="both"/>
        <w:rPr>
          <w:rFonts w:ascii="Times New Roman" w:hAnsi="Times New Roman" w:cs="Times New Roman"/>
          <w:sz w:val="24"/>
          <w:szCs w:val="24"/>
        </w:rPr>
      </w:pPr>
      <w:r w:rsidRPr="005822AD">
        <w:rPr>
          <w:rFonts w:ascii="Times New Roman" w:hAnsi="Times New Roman" w:cs="Times New Roman"/>
          <w:sz w:val="24"/>
          <w:szCs w:val="24"/>
        </w:rPr>
        <w:t>The in vitro antibacterial activity of the synthesized thiosemicarbazone ligand (L) and its metal(II) complexes ([Ni(L)₂Cl₂].H₂O, [Cu(L)₂Cl₂].H₂O, and [Zn(L)₂Cl₂].2H₂O) was evaluated using the agar well diffusion method, a widely used screening technique for assessing antimicrobial potential. This method enables comparative evaluation of antibacterial efficacy based on the diameter of growth inhibition zones (mm) around wells containing the test compounds.</w:t>
      </w:r>
    </w:p>
    <w:p w:rsidR="00482349" w:rsidRPr="005822AD" w:rsidRDefault="00482349" w:rsidP="005822AD">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5822AD">
        <w:rPr>
          <w:rFonts w:ascii="Times New Roman" w:hAnsi="Times New Roman" w:cs="Times New Roman"/>
          <w:b/>
          <w:sz w:val="24"/>
          <w:szCs w:val="24"/>
        </w:rPr>
        <w:t>Preparation of Stock and Working Solutions</w:t>
      </w:r>
    </w:p>
    <w:p w:rsidR="00482349" w:rsidRPr="005822AD" w:rsidRDefault="00482349" w:rsidP="005822AD">
      <w:pPr>
        <w:pStyle w:val="NormalWeb"/>
        <w:spacing w:line="480" w:lineRule="auto"/>
        <w:jc w:val="both"/>
      </w:pPr>
      <w:r w:rsidRPr="005822AD">
        <w:t>Stock solutions were prepared by dissolving 2 mg of each compound in 1 mL of sterile dimethyl sulfoxide (DMSO) to obtain a concentration of 2000 µg/mL. Working solutions of 250, 500, 1000, and 2000 µg/mL were obtained via serial dilution of the stock solution. The concentration range was selected based on preliminary tests and relevant literature reports indicating effective inhibitory activity of similar thiosemicarbazone-metal complexes at these levels.</w:t>
      </w:r>
    </w:p>
    <w:p w:rsidR="00482349" w:rsidRPr="005822AD" w:rsidRDefault="00482349" w:rsidP="005822AD">
      <w:pPr>
        <w:pStyle w:val="NormalWeb"/>
        <w:jc w:val="both"/>
        <w:rPr>
          <w:b/>
        </w:rPr>
      </w:pPr>
      <w:r w:rsidRPr="005822AD">
        <w:rPr>
          <w:b/>
        </w:rPr>
        <w:lastRenderedPageBreak/>
        <w:t>Bacterial Strains and Culture Media</w:t>
      </w:r>
    </w:p>
    <w:p w:rsidR="00482349" w:rsidRPr="005822AD" w:rsidRDefault="00482349" w:rsidP="005822AD">
      <w:pPr>
        <w:pStyle w:val="NormalWeb"/>
        <w:spacing w:line="480" w:lineRule="auto"/>
        <w:jc w:val="both"/>
      </w:pPr>
      <w:r w:rsidRPr="005822AD">
        <w:t xml:space="preserve">The antibacterial activity was tested against </w:t>
      </w:r>
      <w:r w:rsidRPr="005822AD">
        <w:rPr>
          <w:rStyle w:val="Strong"/>
          <w:b w:val="0"/>
        </w:rPr>
        <w:t>Staphylococcus aureus</w:t>
      </w:r>
      <w:r w:rsidRPr="005822AD">
        <w:rPr>
          <w:b/>
        </w:rPr>
        <w:t xml:space="preserve">, </w:t>
      </w:r>
      <w:r w:rsidRPr="005822AD">
        <w:rPr>
          <w:rStyle w:val="Strong"/>
          <w:b w:val="0"/>
        </w:rPr>
        <w:t>Escherichia coli</w:t>
      </w:r>
      <w:r w:rsidRPr="005822AD">
        <w:t xml:space="preserve">, and </w:t>
      </w:r>
      <w:r w:rsidRPr="005822AD">
        <w:rPr>
          <w:rStyle w:val="Strong"/>
          <w:b w:val="0"/>
        </w:rPr>
        <w:t>Salmonella typhi</w:t>
      </w:r>
      <w:r w:rsidRPr="005822AD">
        <w:t>. Clinical isolates were obtained from Aminu Kano Teaching Hospital and authenticated at the Department of Microbiology, Bayero University, Kano. Mueller–Hinton agar (MHA) was used for susceptibility testing, prepared by dissolving 48 g of MHA in 1000 mL distilled water, followed by autoclaving at 121 °C for 15 min. Molten agar was cooled to ~45 °C before pouring into sterile Petri dishes.</w:t>
      </w:r>
    </w:p>
    <w:p w:rsidR="00482349" w:rsidRPr="005822AD" w:rsidRDefault="00482349" w:rsidP="005822AD">
      <w:pPr>
        <w:pStyle w:val="NormalWeb"/>
        <w:jc w:val="both"/>
        <w:rPr>
          <w:b/>
        </w:rPr>
      </w:pPr>
      <w:r w:rsidRPr="005822AD">
        <w:rPr>
          <w:b/>
        </w:rPr>
        <w:t>Standardization of Inoculum</w:t>
      </w:r>
    </w:p>
    <w:p w:rsidR="00482349" w:rsidRPr="005822AD" w:rsidRDefault="00482349" w:rsidP="005822AD">
      <w:pPr>
        <w:pStyle w:val="NormalWeb"/>
        <w:spacing w:line="480" w:lineRule="auto"/>
        <w:jc w:val="both"/>
      </w:pPr>
      <w:r w:rsidRPr="005822AD">
        <w:t xml:space="preserve">Fresh bacterial cultures were adjusted to </w:t>
      </w:r>
      <w:r w:rsidRPr="005822AD">
        <w:rPr>
          <w:rStyle w:val="Strong"/>
          <w:b w:val="0"/>
        </w:rPr>
        <w:t>0.5 McFarland turbidity standard</w:t>
      </w:r>
      <w:r w:rsidRPr="005822AD">
        <w:t>, corresponding to approximately</w:t>
      </w:r>
      <w:r w:rsidR="005822AD">
        <w:t xml:space="preserve"> </w:t>
      </w:r>
      <w:r w:rsidRPr="005822AD">
        <w:t xml:space="preserve">1 × 10⁸ CFU/mL, to ensure uniform inoculum density. Sterile cotton swabs were used to inoculate the standardized bacterial suspensions evenly across the agar surface. </w:t>
      </w:r>
    </w:p>
    <w:p w:rsidR="00482349" w:rsidRPr="005822AD" w:rsidRDefault="00482349" w:rsidP="005822AD">
      <w:pPr>
        <w:pStyle w:val="NormalWeb"/>
        <w:jc w:val="both"/>
        <w:rPr>
          <w:b/>
        </w:rPr>
      </w:pPr>
      <w:r w:rsidRPr="005822AD">
        <w:rPr>
          <w:b/>
        </w:rPr>
        <w:t>Agar Well Diffusion Procedure</w:t>
      </w:r>
    </w:p>
    <w:p w:rsidR="00482349" w:rsidRPr="005822AD" w:rsidRDefault="00482349" w:rsidP="005822AD">
      <w:pPr>
        <w:pStyle w:val="NormalWeb"/>
        <w:spacing w:line="480" w:lineRule="auto"/>
        <w:jc w:val="both"/>
      </w:pPr>
      <w:r w:rsidRPr="005822AD">
        <w:t xml:space="preserve">Sterile cork borers (6 mm diameter) were used to punch wells at equidistant positions on the inoculated agar plates. Aliquots of 0.1 mL of each test solution (250, 500, 1000, 2000 µg/mL) were introduced into the wells. Ciprofloxacin served as the positive control, and DMSO as the negative control. Plates were allowed to stand at room temperature for 1 h to permit pre-diffusion of the compounds, then incubated at 37 °C for 24 h. </w:t>
      </w:r>
    </w:p>
    <w:p w:rsidR="00482349" w:rsidRPr="005822AD" w:rsidRDefault="00482349" w:rsidP="005822AD">
      <w:pPr>
        <w:pStyle w:val="NormalWeb"/>
        <w:jc w:val="both"/>
        <w:rPr>
          <w:b/>
        </w:rPr>
      </w:pPr>
      <w:r w:rsidRPr="005822AD">
        <w:rPr>
          <w:b/>
        </w:rPr>
        <w:t>Replication and Statistical Treatment</w:t>
      </w:r>
    </w:p>
    <w:p w:rsidR="005822AD" w:rsidRPr="005822AD" w:rsidRDefault="00482349" w:rsidP="005822AD">
      <w:pPr>
        <w:pStyle w:val="NormalWeb"/>
        <w:spacing w:line="480" w:lineRule="auto"/>
        <w:jc w:val="both"/>
      </w:pPr>
      <w:r w:rsidRPr="005822AD">
        <w:t xml:space="preserve">All experiments were performed in </w:t>
      </w:r>
      <w:r w:rsidRPr="005822AD">
        <w:rPr>
          <w:rStyle w:val="Strong"/>
          <w:b w:val="0"/>
        </w:rPr>
        <w:t>triplicate</w:t>
      </w:r>
      <w:r w:rsidRPr="005822AD">
        <w:t xml:space="preserve"> to ensure reproducibility. The mean diameter of inhibition zones was calculated for each concentration, and </w:t>
      </w:r>
      <w:r w:rsidRPr="005822AD">
        <w:rPr>
          <w:rStyle w:val="Strong"/>
          <w:b w:val="0"/>
        </w:rPr>
        <w:t>standard deviations (SD)</w:t>
      </w:r>
      <w:r w:rsidRPr="005822AD">
        <w:rPr>
          <w:b/>
        </w:rPr>
        <w:t xml:space="preserve"> </w:t>
      </w:r>
      <w:r w:rsidRPr="005822AD">
        <w:t>were determined to assess variability. This approach ensures statistical reliability and allows direct comparison between the ligand, metal complexes, and control antibiotic.</w:t>
      </w:r>
    </w:p>
    <w:p w:rsidR="00A56F04" w:rsidRDefault="00A56F04" w:rsidP="005822AD">
      <w:pPr>
        <w:pStyle w:val="NormalWeb"/>
        <w:jc w:val="both"/>
        <w:rPr>
          <w:b/>
        </w:rPr>
      </w:pPr>
    </w:p>
    <w:p w:rsidR="00482349" w:rsidRPr="005822AD" w:rsidRDefault="00482349" w:rsidP="005822AD">
      <w:pPr>
        <w:pStyle w:val="NormalWeb"/>
        <w:jc w:val="both"/>
        <w:rPr>
          <w:b/>
        </w:rPr>
      </w:pPr>
      <w:r w:rsidRPr="005822AD">
        <w:rPr>
          <w:b/>
        </w:rPr>
        <w:lastRenderedPageBreak/>
        <w:t>Quality Control</w:t>
      </w:r>
    </w:p>
    <w:p w:rsidR="005822AD" w:rsidRDefault="00482349" w:rsidP="005822AD">
      <w:pPr>
        <w:spacing w:before="100" w:beforeAutospacing="1" w:after="100" w:afterAutospacing="1" w:line="480" w:lineRule="auto"/>
        <w:jc w:val="both"/>
        <w:rPr>
          <w:rFonts w:ascii="Times New Roman" w:eastAsia="Times New Roman" w:hAnsi="Times New Roman" w:cs="Times New Roman"/>
          <w:sz w:val="24"/>
          <w:szCs w:val="24"/>
          <w:lang w:val="en-US"/>
        </w:rPr>
      </w:pPr>
      <w:r w:rsidRPr="005822AD">
        <w:rPr>
          <w:rFonts w:ascii="Times New Roman" w:hAnsi="Times New Roman" w:cs="Times New Roman"/>
          <w:sz w:val="24"/>
          <w:szCs w:val="24"/>
        </w:rPr>
        <w:t>To maintain experimental integrity, sterility of media and solutions was confirmed, and controls</w:t>
      </w:r>
      <w:r w:rsidR="005822AD">
        <w:rPr>
          <w:rFonts w:ascii="Times New Roman" w:hAnsi="Times New Roman" w:cs="Times New Roman"/>
          <w:sz w:val="24"/>
          <w:szCs w:val="24"/>
        </w:rPr>
        <w:t xml:space="preserve"> </w:t>
      </w:r>
      <w:r w:rsidRPr="005822AD">
        <w:rPr>
          <w:rFonts w:ascii="Times New Roman" w:hAnsi="Times New Roman" w:cs="Times New Roman"/>
          <w:sz w:val="24"/>
          <w:szCs w:val="24"/>
        </w:rPr>
        <w:t xml:space="preserve"> (positive and negative) were included in each assay. Concentrations were chosen based on preliminary screening to capture both sub-inhibitory and effective inhibitory ranges</w:t>
      </w:r>
      <w:r w:rsidR="005822AD" w:rsidRPr="005822AD">
        <w:rPr>
          <w:rFonts w:ascii="Times New Roman" w:hAnsi="Times New Roman" w:cs="Times New Roman"/>
          <w:sz w:val="24"/>
          <w:szCs w:val="24"/>
        </w:rPr>
        <w:t xml:space="preserve"> </w:t>
      </w:r>
      <w:r w:rsidR="005822AD" w:rsidRPr="005822AD">
        <w:rPr>
          <w:rFonts w:ascii="Times New Roman" w:eastAsia="Times New Roman" w:hAnsi="Times New Roman" w:cs="Times New Roman"/>
          <w:sz w:val="24"/>
          <w:szCs w:val="24"/>
          <w:lang w:val="en-US"/>
        </w:rPr>
        <w:t>(21).</w:t>
      </w:r>
    </w:p>
    <w:p w:rsidR="00C50B18" w:rsidRPr="005822AD" w:rsidRDefault="00695E5F" w:rsidP="005822AD">
      <w:pPr>
        <w:spacing w:before="100" w:beforeAutospacing="1" w:after="100" w:afterAutospacing="1" w:line="240" w:lineRule="auto"/>
        <w:jc w:val="both"/>
        <w:rPr>
          <w:rFonts w:ascii="Times New Roman" w:eastAsia="Times New Roman" w:hAnsi="Times New Roman" w:cs="Times New Roman"/>
          <w:b/>
          <w:sz w:val="24"/>
          <w:szCs w:val="24"/>
          <w:lang w:val="en-US"/>
        </w:rPr>
      </w:pPr>
      <w:r w:rsidRPr="00A318E8">
        <w:rPr>
          <w:rFonts w:ascii="Times New Roman" w:eastAsiaTheme="minorEastAsia" w:hAnsi="Times New Roman" w:cs="Times New Roman"/>
          <w:b/>
        </w:rPr>
        <w:t xml:space="preserve">RESULTS AND DISCUSSION </w:t>
      </w:r>
    </w:p>
    <w:p w:rsidR="00236E1C" w:rsidRPr="00A318E8" w:rsidRDefault="00695E5F" w:rsidP="00C77572">
      <w:pPr>
        <w:spacing w:before="100" w:beforeAutospacing="1" w:after="100" w:afterAutospacing="1" w:line="480" w:lineRule="auto"/>
        <w:rPr>
          <w:rFonts w:ascii="Times New Roman" w:eastAsiaTheme="minorEastAsia" w:hAnsi="Times New Roman" w:cs="Times New Roman"/>
          <w:b/>
        </w:rPr>
      </w:pPr>
      <w:r w:rsidRPr="00A318E8">
        <w:rPr>
          <w:rFonts w:ascii="Times New Roman" w:eastAsiaTheme="minorEastAsia" w:hAnsi="Times New Roman" w:cs="Times New Roman"/>
          <w:sz w:val="24"/>
          <w:szCs w:val="24"/>
        </w:rPr>
        <w:t xml:space="preserve">The tables below present the results obtained from the physicochemical analysis, spectral characterization, and </w:t>
      </w:r>
      <w:r w:rsidRPr="00A318E8">
        <w:rPr>
          <w:rFonts w:ascii="Times New Roman" w:eastAsiaTheme="minorEastAsia" w:hAnsi="Times New Roman" w:cs="Times New Roman"/>
          <w:i/>
          <w:sz w:val="24"/>
          <w:szCs w:val="24"/>
        </w:rPr>
        <w:t>in-vitro</w:t>
      </w:r>
      <w:r w:rsidRPr="00A318E8">
        <w:rPr>
          <w:rFonts w:ascii="Times New Roman" w:eastAsiaTheme="minorEastAsia" w:hAnsi="Times New Roman" w:cs="Times New Roman"/>
          <w:sz w:val="24"/>
          <w:szCs w:val="24"/>
        </w:rPr>
        <w:t xml:space="preserve"> antimicrobial evaluation of the thiosemicarbazones and their complexes. </w:t>
      </w:r>
    </w:p>
    <w:p w:rsidR="00BD7CA4" w:rsidRPr="00A318E8" w:rsidRDefault="00695E5F">
      <w:pPr>
        <w:rPr>
          <w:rFonts w:ascii="Times New Roman" w:eastAsiaTheme="minorEastAsia" w:hAnsi="Times New Roman" w:cs="Times New Roman"/>
          <w:b/>
        </w:rPr>
      </w:pPr>
      <w:r w:rsidRPr="00A318E8">
        <w:rPr>
          <w:rFonts w:ascii="Times New Roman" w:eastAsiaTheme="minorEastAsia" w:hAnsi="Times New Roman" w:cs="Times New Roman"/>
          <w:b/>
        </w:rPr>
        <w:t xml:space="preserve">Table 1: Percentage yield and some Properties of Thiosemicarbazone and its Metal (II) Complexes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2350"/>
        <w:gridCol w:w="1469"/>
        <w:gridCol w:w="881"/>
        <w:gridCol w:w="1860"/>
        <w:gridCol w:w="1762"/>
      </w:tblGrid>
      <w:tr w:rsidR="005604BF" w:rsidRPr="00A318E8" w:rsidTr="00F618C2">
        <w:trPr>
          <w:trHeight w:val="786"/>
        </w:trPr>
        <w:tc>
          <w:tcPr>
            <w:tcW w:w="2350" w:type="dxa"/>
            <w:tcBorders>
              <w:top w:val="single" w:sz="4" w:space="0" w:color="auto"/>
              <w:bottom w:val="single" w:sz="4" w:space="0" w:color="auto"/>
            </w:tcBorders>
          </w:tcPr>
          <w:p w:rsidR="005604BF" w:rsidRPr="00A318E8" w:rsidRDefault="005604BF" w:rsidP="00AF0C7C">
            <w:pPr>
              <w:spacing w:after="0"/>
              <w:rPr>
                <w:rFonts w:ascii="Times New Roman" w:eastAsiaTheme="minorEastAsia" w:hAnsi="Times New Roman" w:cs="Times New Roman"/>
              </w:rPr>
            </w:pPr>
            <w:r w:rsidRPr="00A318E8">
              <w:rPr>
                <w:rFonts w:ascii="Times New Roman" w:eastAsiaTheme="minorEastAsia" w:hAnsi="Times New Roman" w:cs="Times New Roman"/>
              </w:rPr>
              <w:t>Compounds</w:t>
            </w:r>
          </w:p>
        </w:tc>
        <w:tc>
          <w:tcPr>
            <w:tcW w:w="1469" w:type="dxa"/>
            <w:tcBorders>
              <w:top w:val="single" w:sz="4" w:space="0" w:color="auto"/>
              <w:bottom w:val="single" w:sz="4" w:space="0" w:color="auto"/>
            </w:tcBorders>
          </w:tcPr>
          <w:p w:rsidR="005604BF" w:rsidRPr="00A318E8" w:rsidRDefault="005604BF" w:rsidP="00064AC7">
            <w:pPr>
              <w:spacing w:after="0"/>
              <w:jc w:val="center"/>
              <w:rPr>
                <w:rFonts w:ascii="Times New Roman" w:eastAsiaTheme="minorEastAsia" w:hAnsi="Times New Roman" w:cs="Times New Roman"/>
              </w:rPr>
            </w:pPr>
            <w:r w:rsidRPr="00A318E8">
              <w:rPr>
                <w:rFonts w:ascii="Times New Roman" w:eastAsiaTheme="minorEastAsia" w:hAnsi="Times New Roman" w:cs="Times New Roman"/>
              </w:rPr>
              <w:t>Color</w:t>
            </w:r>
          </w:p>
        </w:tc>
        <w:tc>
          <w:tcPr>
            <w:tcW w:w="881" w:type="dxa"/>
            <w:tcBorders>
              <w:top w:val="single" w:sz="4" w:space="0" w:color="auto"/>
              <w:bottom w:val="single" w:sz="4" w:space="0" w:color="auto"/>
            </w:tcBorders>
          </w:tcPr>
          <w:p w:rsidR="005604BF" w:rsidRPr="00A318E8" w:rsidRDefault="005604BF" w:rsidP="00064AC7">
            <w:pPr>
              <w:spacing w:after="0"/>
              <w:jc w:val="center"/>
              <w:rPr>
                <w:rFonts w:ascii="Times New Roman" w:eastAsiaTheme="minorEastAsia" w:hAnsi="Times New Roman" w:cs="Times New Roman"/>
              </w:rPr>
            </w:pPr>
            <w:r w:rsidRPr="00A318E8">
              <w:rPr>
                <w:rFonts w:ascii="Times New Roman" w:eastAsiaTheme="minorEastAsia" w:hAnsi="Times New Roman" w:cs="Times New Roman"/>
              </w:rPr>
              <w:t>M.P</w:t>
            </w:r>
          </w:p>
          <w:p w:rsidR="005604BF" w:rsidRPr="00A318E8" w:rsidRDefault="005604BF" w:rsidP="00064AC7">
            <w:pPr>
              <w:spacing w:after="0"/>
              <w:jc w:val="center"/>
              <w:rPr>
                <w:rFonts w:ascii="Times New Roman" w:eastAsiaTheme="minorEastAsia" w:hAnsi="Times New Roman" w:cs="Times New Roman"/>
              </w:rPr>
            </w:pPr>
            <w:r w:rsidRPr="00A318E8">
              <w:rPr>
                <w:rFonts w:ascii="Times New Roman" w:eastAsiaTheme="minorEastAsia" w:hAnsi="Times New Roman" w:cs="Times New Roman"/>
              </w:rPr>
              <w:t>(⁰C)</w:t>
            </w:r>
          </w:p>
        </w:tc>
        <w:tc>
          <w:tcPr>
            <w:tcW w:w="1860" w:type="dxa"/>
            <w:tcBorders>
              <w:top w:val="single" w:sz="4" w:space="0" w:color="auto"/>
              <w:bottom w:val="single" w:sz="4" w:space="0" w:color="auto"/>
            </w:tcBorders>
          </w:tcPr>
          <w:p w:rsidR="005604BF" w:rsidRPr="00A318E8" w:rsidRDefault="005604BF" w:rsidP="00064AC7">
            <w:pPr>
              <w:spacing w:after="0"/>
              <w:jc w:val="center"/>
              <w:rPr>
                <w:rFonts w:ascii="Times New Roman" w:eastAsiaTheme="minorEastAsia" w:hAnsi="Times New Roman" w:cs="Times New Roman"/>
              </w:rPr>
            </w:pPr>
            <w:r w:rsidRPr="00A318E8">
              <w:rPr>
                <w:rFonts w:ascii="Times New Roman" w:eastAsiaTheme="minorEastAsia" w:hAnsi="Times New Roman" w:cs="Times New Roman"/>
              </w:rPr>
              <w:t>Decomposition Temperature (⁰C)</w:t>
            </w:r>
          </w:p>
        </w:tc>
        <w:tc>
          <w:tcPr>
            <w:tcW w:w="1762" w:type="dxa"/>
            <w:tcBorders>
              <w:top w:val="single" w:sz="4" w:space="0" w:color="auto"/>
              <w:bottom w:val="single" w:sz="4" w:space="0" w:color="auto"/>
            </w:tcBorders>
          </w:tcPr>
          <w:p w:rsidR="005604BF" w:rsidRPr="00A318E8" w:rsidRDefault="005604BF" w:rsidP="00064AC7">
            <w:pPr>
              <w:spacing w:after="0"/>
              <w:jc w:val="center"/>
              <w:rPr>
                <w:rFonts w:ascii="Times New Roman" w:eastAsiaTheme="minorEastAsia" w:hAnsi="Times New Roman" w:cs="Times New Roman"/>
              </w:rPr>
            </w:pPr>
            <w:r w:rsidRPr="00A318E8">
              <w:rPr>
                <w:rFonts w:ascii="Times New Roman" w:eastAsiaTheme="minorEastAsia" w:hAnsi="Times New Roman" w:cs="Times New Roman"/>
              </w:rPr>
              <w:t>Percentage Yield (%)</w:t>
            </w:r>
          </w:p>
        </w:tc>
      </w:tr>
      <w:tr w:rsidR="005604BF" w:rsidRPr="00A318E8" w:rsidTr="00F618C2">
        <w:trPr>
          <w:trHeight w:val="599"/>
        </w:trPr>
        <w:tc>
          <w:tcPr>
            <w:tcW w:w="2350" w:type="dxa"/>
            <w:tcBorders>
              <w:top w:val="single" w:sz="4" w:space="0" w:color="auto"/>
            </w:tcBorders>
          </w:tcPr>
          <w:p w:rsidR="005604BF" w:rsidRPr="00A318E8" w:rsidRDefault="005604BF" w:rsidP="00E87990">
            <w:pPr>
              <w:rPr>
                <w:rFonts w:ascii="Times New Roman" w:hAnsi="Times New Roman" w:cs="Times New Roman"/>
                <w:sz w:val="24"/>
                <w:szCs w:val="24"/>
              </w:rPr>
            </w:pPr>
            <w:r w:rsidRPr="00A318E8">
              <w:rPr>
                <w:rFonts w:ascii="Times New Roman" w:hAnsi="Times New Roman" w:cs="Times New Roman"/>
                <w:sz w:val="24"/>
                <w:szCs w:val="24"/>
              </w:rPr>
              <w:t xml:space="preserve">Thiosemicarbazone </w:t>
            </w:r>
          </w:p>
        </w:tc>
        <w:tc>
          <w:tcPr>
            <w:tcW w:w="1469" w:type="dxa"/>
            <w:tcBorders>
              <w:top w:val="single" w:sz="4" w:space="0" w:color="auto"/>
            </w:tcBorders>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Yellow</w:t>
            </w:r>
          </w:p>
        </w:tc>
        <w:tc>
          <w:tcPr>
            <w:tcW w:w="881" w:type="dxa"/>
            <w:tcBorders>
              <w:top w:val="single" w:sz="4" w:space="0" w:color="auto"/>
            </w:tcBorders>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179</w:t>
            </w:r>
          </w:p>
        </w:tc>
        <w:tc>
          <w:tcPr>
            <w:tcW w:w="1860" w:type="dxa"/>
            <w:tcBorders>
              <w:top w:val="single" w:sz="4" w:space="0" w:color="auto"/>
            </w:tcBorders>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w:t>
            </w:r>
          </w:p>
        </w:tc>
        <w:tc>
          <w:tcPr>
            <w:tcW w:w="1762" w:type="dxa"/>
            <w:tcBorders>
              <w:top w:val="single" w:sz="4" w:space="0" w:color="auto"/>
            </w:tcBorders>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73.1</w:t>
            </w:r>
          </w:p>
        </w:tc>
      </w:tr>
      <w:tr w:rsidR="005604BF" w:rsidRPr="00A318E8" w:rsidTr="00F618C2">
        <w:trPr>
          <w:trHeight w:val="338"/>
        </w:trPr>
        <w:tc>
          <w:tcPr>
            <w:tcW w:w="2350" w:type="dxa"/>
          </w:tcPr>
          <w:p w:rsidR="005604BF" w:rsidRPr="00A318E8" w:rsidRDefault="005604BF" w:rsidP="00E87990">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469"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Light green</w:t>
            </w:r>
          </w:p>
        </w:tc>
        <w:tc>
          <w:tcPr>
            <w:tcW w:w="881"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w:t>
            </w:r>
          </w:p>
        </w:tc>
        <w:tc>
          <w:tcPr>
            <w:tcW w:w="1860"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217</w:t>
            </w:r>
          </w:p>
        </w:tc>
        <w:tc>
          <w:tcPr>
            <w:tcW w:w="1762"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78.8</w:t>
            </w:r>
          </w:p>
        </w:tc>
      </w:tr>
      <w:tr w:rsidR="005604BF" w:rsidRPr="00A318E8" w:rsidTr="00F618C2">
        <w:trPr>
          <w:trHeight w:val="616"/>
        </w:trPr>
        <w:tc>
          <w:tcPr>
            <w:tcW w:w="2350" w:type="dxa"/>
          </w:tcPr>
          <w:p w:rsidR="005604BF" w:rsidRPr="00A318E8" w:rsidRDefault="005604BF" w:rsidP="00E87990">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469"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Brown</w:t>
            </w:r>
          </w:p>
        </w:tc>
        <w:tc>
          <w:tcPr>
            <w:tcW w:w="881"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w:t>
            </w:r>
          </w:p>
        </w:tc>
        <w:tc>
          <w:tcPr>
            <w:tcW w:w="1860"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205</w:t>
            </w:r>
          </w:p>
        </w:tc>
        <w:tc>
          <w:tcPr>
            <w:tcW w:w="1762"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71.4</w:t>
            </w:r>
          </w:p>
        </w:tc>
      </w:tr>
      <w:tr w:rsidR="005604BF" w:rsidRPr="00A318E8" w:rsidTr="00F618C2">
        <w:trPr>
          <w:trHeight w:val="1219"/>
        </w:trPr>
        <w:tc>
          <w:tcPr>
            <w:tcW w:w="2350" w:type="dxa"/>
          </w:tcPr>
          <w:p w:rsidR="005604BF" w:rsidRPr="00A318E8" w:rsidRDefault="005604BF" w:rsidP="00E87990">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469"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Pale yellow</w:t>
            </w:r>
          </w:p>
        </w:tc>
        <w:tc>
          <w:tcPr>
            <w:tcW w:w="881"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w:t>
            </w:r>
          </w:p>
        </w:tc>
        <w:tc>
          <w:tcPr>
            <w:tcW w:w="1860" w:type="dxa"/>
          </w:tcPr>
          <w:p w:rsidR="005604BF" w:rsidRPr="00A318E8" w:rsidRDefault="005604BF" w:rsidP="00E87990">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210</w:t>
            </w:r>
          </w:p>
        </w:tc>
        <w:tc>
          <w:tcPr>
            <w:tcW w:w="1762" w:type="dxa"/>
          </w:tcPr>
          <w:p w:rsidR="005604BF" w:rsidRPr="00A318E8" w:rsidRDefault="005604BF" w:rsidP="005604B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66.2</w:t>
            </w:r>
          </w:p>
        </w:tc>
      </w:tr>
    </w:tbl>
    <w:p w:rsidR="005822AD" w:rsidRDefault="00F618C2">
      <w:pPr>
        <w:rPr>
          <w:rFonts w:ascii="Times New Roman" w:hAnsi="Times New Roman" w:cs="Times New Roman"/>
          <w:sz w:val="24"/>
          <w:szCs w:val="24"/>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A56F04" w:rsidRDefault="00A56F04">
      <w:pPr>
        <w:rPr>
          <w:rFonts w:ascii="Times New Roman" w:eastAsiaTheme="minorEastAsia" w:hAnsi="Times New Roman" w:cs="Times New Roman"/>
          <w:b/>
        </w:rPr>
      </w:pPr>
    </w:p>
    <w:p w:rsidR="00A56F04" w:rsidRDefault="00A56F04">
      <w:pPr>
        <w:rPr>
          <w:rFonts w:ascii="Times New Roman" w:eastAsiaTheme="minorEastAsia" w:hAnsi="Times New Roman" w:cs="Times New Roman"/>
          <w:b/>
        </w:rPr>
      </w:pPr>
    </w:p>
    <w:p w:rsidR="00A56F04" w:rsidRDefault="00A56F04">
      <w:pPr>
        <w:rPr>
          <w:rFonts w:ascii="Times New Roman" w:eastAsiaTheme="minorEastAsia" w:hAnsi="Times New Roman" w:cs="Times New Roman"/>
          <w:b/>
        </w:rPr>
      </w:pPr>
    </w:p>
    <w:p w:rsidR="00A56F04" w:rsidRDefault="00A56F04">
      <w:pPr>
        <w:rPr>
          <w:rFonts w:ascii="Times New Roman" w:eastAsiaTheme="minorEastAsia" w:hAnsi="Times New Roman" w:cs="Times New Roman"/>
          <w:b/>
        </w:rPr>
      </w:pPr>
    </w:p>
    <w:p w:rsidR="00A56F04" w:rsidRDefault="00A56F04">
      <w:pPr>
        <w:rPr>
          <w:rFonts w:ascii="Times New Roman" w:eastAsiaTheme="minorEastAsia" w:hAnsi="Times New Roman" w:cs="Times New Roman"/>
          <w:b/>
        </w:rPr>
      </w:pPr>
    </w:p>
    <w:p w:rsidR="00A56F04" w:rsidRDefault="00A56F04">
      <w:pPr>
        <w:rPr>
          <w:rFonts w:ascii="Times New Roman" w:eastAsiaTheme="minorEastAsia" w:hAnsi="Times New Roman" w:cs="Times New Roman"/>
          <w:b/>
        </w:rPr>
      </w:pPr>
    </w:p>
    <w:p w:rsidR="00BD7CA4" w:rsidRPr="005822AD" w:rsidRDefault="00695E5F">
      <w:pPr>
        <w:rPr>
          <w:rFonts w:ascii="Times New Roman" w:hAnsi="Times New Roman" w:cs="Times New Roman"/>
          <w:sz w:val="24"/>
          <w:szCs w:val="24"/>
        </w:rPr>
      </w:pPr>
      <w:r w:rsidRPr="00A318E8">
        <w:rPr>
          <w:rFonts w:ascii="Times New Roman" w:eastAsiaTheme="minorEastAsia" w:hAnsi="Times New Roman" w:cs="Times New Roman"/>
          <w:b/>
        </w:rPr>
        <w:lastRenderedPageBreak/>
        <w:t xml:space="preserve">Table 2: Conductivity measurement of </w:t>
      </w:r>
      <w:r w:rsidR="00C26814" w:rsidRPr="00A318E8">
        <w:rPr>
          <w:rFonts w:ascii="Times New Roman" w:eastAsiaTheme="minorEastAsia" w:hAnsi="Times New Roman" w:cs="Times New Roman"/>
          <w:b/>
        </w:rPr>
        <w:t>thiosemicarbazone</w:t>
      </w:r>
      <w:r w:rsidRPr="00A318E8">
        <w:rPr>
          <w:rFonts w:ascii="Times New Roman" w:eastAsiaTheme="minorEastAsia" w:hAnsi="Times New Roman" w:cs="Times New Roman"/>
          <w:b/>
        </w:rPr>
        <w:t xml:space="preserve"> Complexes in 1×10</w:t>
      </w:r>
      <w:r w:rsidRPr="00A318E8">
        <w:rPr>
          <w:rFonts w:ascii="Times New Roman" w:eastAsiaTheme="minorEastAsia" w:hAnsi="Times New Roman" w:cs="Times New Roman"/>
          <w:b/>
          <w:vertAlign w:val="superscript"/>
        </w:rPr>
        <w:t>-3</w:t>
      </w:r>
      <w:r w:rsidRPr="00A318E8">
        <w:rPr>
          <w:rFonts w:ascii="Times New Roman" w:eastAsiaTheme="minorEastAsia" w:hAnsi="Times New Roman" w:cs="Times New Roman"/>
          <w:b/>
        </w:rPr>
        <w:t xml:space="preserve"> DMSO </w:t>
      </w:r>
    </w:p>
    <w:tbl>
      <w:tblPr>
        <w:tblW w:w="8730" w:type="dxa"/>
        <w:tblBorders>
          <w:top w:val="single" w:sz="4" w:space="0" w:color="auto"/>
          <w:bottom w:val="single" w:sz="4" w:space="0" w:color="auto"/>
        </w:tblBorders>
        <w:tblLook w:val="04A0" w:firstRow="1" w:lastRow="0" w:firstColumn="1" w:lastColumn="0" w:noHBand="0" w:noVBand="1"/>
      </w:tblPr>
      <w:tblGrid>
        <w:gridCol w:w="2137"/>
        <w:gridCol w:w="2137"/>
        <w:gridCol w:w="2306"/>
        <w:gridCol w:w="2150"/>
      </w:tblGrid>
      <w:tr w:rsidR="00F7644F" w:rsidRPr="00A318E8" w:rsidTr="00F618C2">
        <w:trPr>
          <w:trHeight w:val="1373"/>
        </w:trPr>
        <w:tc>
          <w:tcPr>
            <w:tcW w:w="2137" w:type="dxa"/>
            <w:tcBorders>
              <w:top w:val="single" w:sz="4" w:space="0" w:color="auto"/>
              <w:bottom w:val="single" w:sz="4" w:space="0" w:color="auto"/>
            </w:tcBorders>
          </w:tcPr>
          <w:p w:rsidR="00F7644F" w:rsidRPr="00A318E8" w:rsidRDefault="00F7644F" w:rsidP="00A04CEF">
            <w:pPr>
              <w:spacing w:after="0" w:line="480" w:lineRule="auto"/>
              <w:jc w:val="both"/>
              <w:rPr>
                <w:rFonts w:ascii="Times New Roman" w:hAnsi="Times New Roman" w:cs="Times New Roman"/>
                <w:b/>
                <w:sz w:val="24"/>
                <w:szCs w:val="24"/>
              </w:rPr>
            </w:pPr>
            <w:r w:rsidRPr="00A318E8">
              <w:rPr>
                <w:rFonts w:ascii="Times New Roman" w:hAnsi="Times New Roman" w:cs="Times New Roman"/>
                <w:b/>
                <w:sz w:val="24"/>
                <w:szCs w:val="24"/>
              </w:rPr>
              <w:t>Complex</w:t>
            </w:r>
          </w:p>
        </w:tc>
        <w:tc>
          <w:tcPr>
            <w:tcW w:w="2137" w:type="dxa"/>
            <w:tcBorders>
              <w:top w:val="single" w:sz="4" w:space="0" w:color="auto"/>
              <w:bottom w:val="single" w:sz="4" w:space="0" w:color="auto"/>
            </w:tcBorders>
          </w:tcPr>
          <w:p w:rsidR="00F7644F" w:rsidRPr="00A318E8" w:rsidRDefault="00F7644F"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Concentration Moldm</w:t>
            </w:r>
            <w:r w:rsidRPr="00A318E8">
              <w:rPr>
                <w:rFonts w:ascii="Times New Roman" w:hAnsi="Times New Roman" w:cs="Times New Roman"/>
                <w:b/>
                <w:sz w:val="24"/>
                <w:szCs w:val="24"/>
                <w:vertAlign w:val="superscript"/>
              </w:rPr>
              <w:t>-3</w:t>
            </w:r>
          </w:p>
        </w:tc>
        <w:tc>
          <w:tcPr>
            <w:tcW w:w="2306" w:type="dxa"/>
            <w:tcBorders>
              <w:top w:val="single" w:sz="4" w:space="0" w:color="auto"/>
              <w:bottom w:val="single" w:sz="4" w:space="0" w:color="auto"/>
            </w:tcBorders>
          </w:tcPr>
          <w:p w:rsidR="00F7644F" w:rsidRPr="00A318E8" w:rsidRDefault="00F7644F"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Specific Conductance</w:t>
            </w:r>
          </w:p>
          <w:p w:rsidR="00F7644F" w:rsidRPr="00A318E8" w:rsidRDefault="003B5159" w:rsidP="00A04CEF">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Ω</w:t>
            </w:r>
            <w:r w:rsidR="00F7644F" w:rsidRPr="00A318E8">
              <w:rPr>
                <w:rFonts w:ascii="Times New Roman" w:hAnsi="Times New Roman" w:cs="Times New Roman"/>
                <w:b/>
                <w:sz w:val="24"/>
                <w:szCs w:val="24"/>
                <w:vertAlign w:val="superscript"/>
              </w:rPr>
              <w:t>-1</w:t>
            </w:r>
            <w:r w:rsidR="00F7644F" w:rsidRPr="00A318E8">
              <w:rPr>
                <w:rFonts w:ascii="Times New Roman" w:hAnsi="Times New Roman" w:cs="Times New Roman"/>
                <w:b/>
                <w:sz w:val="24"/>
                <w:szCs w:val="24"/>
              </w:rPr>
              <w:t>cm</w:t>
            </w:r>
            <w:r w:rsidR="00F7644F" w:rsidRPr="00A318E8">
              <w:rPr>
                <w:rFonts w:ascii="Times New Roman" w:hAnsi="Times New Roman" w:cs="Times New Roman"/>
                <w:b/>
                <w:sz w:val="24"/>
                <w:szCs w:val="24"/>
                <w:vertAlign w:val="superscript"/>
              </w:rPr>
              <w:t>-1</w:t>
            </w:r>
          </w:p>
        </w:tc>
        <w:tc>
          <w:tcPr>
            <w:tcW w:w="2150" w:type="dxa"/>
            <w:tcBorders>
              <w:top w:val="single" w:sz="4" w:space="0" w:color="auto"/>
              <w:bottom w:val="single" w:sz="4" w:space="0" w:color="auto"/>
            </w:tcBorders>
          </w:tcPr>
          <w:p w:rsidR="00F7644F" w:rsidRPr="00A318E8" w:rsidRDefault="00F7644F"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Molar Conductance</w:t>
            </w:r>
          </w:p>
          <w:p w:rsidR="00F7644F" w:rsidRPr="00A318E8" w:rsidRDefault="003B5159" w:rsidP="00A04CEF">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Ω</w:t>
            </w:r>
            <w:r w:rsidR="00F7644F" w:rsidRPr="00A318E8">
              <w:rPr>
                <w:rFonts w:ascii="Times New Roman" w:hAnsi="Times New Roman" w:cs="Times New Roman"/>
                <w:b/>
                <w:sz w:val="24"/>
                <w:szCs w:val="24"/>
                <w:vertAlign w:val="superscript"/>
              </w:rPr>
              <w:t>-1</w:t>
            </w:r>
            <w:r w:rsidR="00F7644F" w:rsidRPr="00A318E8">
              <w:rPr>
                <w:rFonts w:ascii="Times New Roman" w:hAnsi="Times New Roman" w:cs="Times New Roman"/>
                <w:b/>
                <w:sz w:val="24"/>
                <w:szCs w:val="24"/>
              </w:rPr>
              <w:t>cm</w:t>
            </w:r>
            <w:r w:rsidR="00F7644F" w:rsidRPr="00A318E8">
              <w:rPr>
                <w:rFonts w:ascii="Times New Roman" w:hAnsi="Times New Roman" w:cs="Times New Roman"/>
                <w:b/>
                <w:sz w:val="24"/>
                <w:szCs w:val="24"/>
                <w:vertAlign w:val="superscript"/>
              </w:rPr>
              <w:t>2</w:t>
            </w:r>
            <w:r w:rsidR="00F7644F" w:rsidRPr="00A318E8">
              <w:rPr>
                <w:rFonts w:ascii="Times New Roman" w:hAnsi="Times New Roman" w:cs="Times New Roman"/>
                <w:b/>
                <w:sz w:val="24"/>
                <w:szCs w:val="24"/>
              </w:rPr>
              <w:t>mol</w:t>
            </w:r>
            <w:r w:rsidR="00F7644F" w:rsidRPr="00A318E8">
              <w:rPr>
                <w:rFonts w:ascii="Times New Roman" w:hAnsi="Times New Roman" w:cs="Times New Roman"/>
                <w:b/>
                <w:sz w:val="24"/>
                <w:szCs w:val="24"/>
                <w:vertAlign w:val="superscript"/>
              </w:rPr>
              <w:t>-1</w:t>
            </w:r>
          </w:p>
        </w:tc>
      </w:tr>
      <w:tr w:rsidR="00F7644F" w:rsidRPr="00A318E8" w:rsidTr="00F618C2">
        <w:trPr>
          <w:trHeight w:val="692"/>
        </w:trPr>
        <w:tc>
          <w:tcPr>
            <w:tcW w:w="2137" w:type="dxa"/>
            <w:tcBorders>
              <w:top w:val="single" w:sz="4" w:space="0" w:color="auto"/>
            </w:tcBorders>
            <w:shd w:val="clear" w:color="auto" w:fill="auto"/>
          </w:tcPr>
          <w:p w:rsidR="00F7644F" w:rsidRPr="00A318E8" w:rsidRDefault="00F7644F" w:rsidP="00F7644F">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2137" w:type="dxa"/>
            <w:tcBorders>
              <w:top w:val="single" w:sz="4" w:space="0" w:color="auto"/>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1.0 × 10</w:t>
            </w:r>
            <w:r w:rsidRPr="00A318E8">
              <w:rPr>
                <w:rFonts w:ascii="Times New Roman" w:hAnsi="Times New Roman" w:cs="Times New Roman"/>
                <w:sz w:val="24"/>
                <w:szCs w:val="24"/>
                <w:vertAlign w:val="superscript"/>
              </w:rPr>
              <w:t>-3</w:t>
            </w:r>
          </w:p>
        </w:tc>
        <w:tc>
          <w:tcPr>
            <w:tcW w:w="2306" w:type="dxa"/>
            <w:tcBorders>
              <w:top w:val="single" w:sz="4" w:space="0" w:color="auto"/>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10.3 × 10</w:t>
            </w:r>
            <w:r w:rsidRPr="00A318E8">
              <w:rPr>
                <w:rFonts w:ascii="Times New Roman" w:hAnsi="Times New Roman" w:cs="Times New Roman"/>
                <w:sz w:val="24"/>
                <w:szCs w:val="24"/>
                <w:vertAlign w:val="superscript"/>
              </w:rPr>
              <w:t>-6</w:t>
            </w:r>
          </w:p>
        </w:tc>
        <w:tc>
          <w:tcPr>
            <w:tcW w:w="2150" w:type="dxa"/>
            <w:tcBorders>
              <w:top w:val="single" w:sz="4" w:space="0" w:color="auto"/>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10.3</w:t>
            </w:r>
          </w:p>
        </w:tc>
      </w:tr>
      <w:tr w:rsidR="00F7644F" w:rsidRPr="00A318E8" w:rsidTr="00F618C2">
        <w:trPr>
          <w:trHeight w:val="679"/>
        </w:trPr>
        <w:tc>
          <w:tcPr>
            <w:tcW w:w="2137" w:type="dxa"/>
            <w:tcBorders>
              <w:bottom w:val="nil"/>
            </w:tcBorders>
            <w:shd w:val="clear" w:color="auto" w:fill="auto"/>
          </w:tcPr>
          <w:p w:rsidR="00F7644F" w:rsidRPr="00A318E8" w:rsidRDefault="00F7644F" w:rsidP="00F7644F">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2137" w:type="dxa"/>
            <w:tcBorders>
              <w:bottom w:val="nil"/>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1.0 × 10</w:t>
            </w:r>
            <w:r w:rsidRPr="00A318E8">
              <w:rPr>
                <w:rFonts w:ascii="Times New Roman" w:hAnsi="Times New Roman" w:cs="Times New Roman"/>
                <w:sz w:val="24"/>
                <w:szCs w:val="24"/>
                <w:vertAlign w:val="superscript"/>
              </w:rPr>
              <w:t>-3</w:t>
            </w:r>
          </w:p>
        </w:tc>
        <w:tc>
          <w:tcPr>
            <w:tcW w:w="2306" w:type="dxa"/>
            <w:tcBorders>
              <w:bottom w:val="nil"/>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13.0 × 10</w:t>
            </w:r>
            <w:r w:rsidRPr="00A318E8">
              <w:rPr>
                <w:rFonts w:ascii="Times New Roman" w:hAnsi="Times New Roman" w:cs="Times New Roman"/>
                <w:sz w:val="24"/>
                <w:szCs w:val="24"/>
                <w:vertAlign w:val="superscript"/>
              </w:rPr>
              <w:t>-6</w:t>
            </w:r>
          </w:p>
        </w:tc>
        <w:tc>
          <w:tcPr>
            <w:tcW w:w="2150" w:type="dxa"/>
            <w:tcBorders>
              <w:bottom w:val="nil"/>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13.0</w:t>
            </w:r>
          </w:p>
        </w:tc>
      </w:tr>
      <w:tr w:rsidR="00F7644F" w:rsidRPr="00A318E8" w:rsidTr="00F618C2">
        <w:trPr>
          <w:trHeight w:val="679"/>
        </w:trPr>
        <w:tc>
          <w:tcPr>
            <w:tcW w:w="2137" w:type="dxa"/>
            <w:tcBorders>
              <w:top w:val="nil"/>
              <w:bottom w:val="single" w:sz="4" w:space="0" w:color="auto"/>
            </w:tcBorders>
            <w:shd w:val="clear" w:color="auto" w:fill="auto"/>
          </w:tcPr>
          <w:p w:rsidR="00F7644F" w:rsidRPr="00A318E8" w:rsidRDefault="00F7644F" w:rsidP="00F7644F">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2137" w:type="dxa"/>
            <w:tcBorders>
              <w:top w:val="nil"/>
              <w:bottom w:val="single" w:sz="4" w:space="0" w:color="auto"/>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1.0 × 10</w:t>
            </w:r>
            <w:r w:rsidRPr="00A318E8">
              <w:rPr>
                <w:rFonts w:ascii="Times New Roman" w:hAnsi="Times New Roman" w:cs="Times New Roman"/>
                <w:sz w:val="24"/>
                <w:szCs w:val="24"/>
                <w:vertAlign w:val="superscript"/>
              </w:rPr>
              <w:t>-3</w:t>
            </w:r>
          </w:p>
        </w:tc>
        <w:tc>
          <w:tcPr>
            <w:tcW w:w="2306" w:type="dxa"/>
            <w:tcBorders>
              <w:top w:val="nil"/>
              <w:bottom w:val="single" w:sz="4" w:space="0" w:color="auto"/>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5.59 × 10</w:t>
            </w:r>
            <w:r w:rsidRPr="00A318E8">
              <w:rPr>
                <w:rFonts w:ascii="Times New Roman" w:hAnsi="Times New Roman" w:cs="Times New Roman"/>
                <w:sz w:val="24"/>
                <w:szCs w:val="24"/>
                <w:vertAlign w:val="superscript"/>
              </w:rPr>
              <w:t>-6</w:t>
            </w:r>
          </w:p>
        </w:tc>
        <w:tc>
          <w:tcPr>
            <w:tcW w:w="2150" w:type="dxa"/>
            <w:tcBorders>
              <w:top w:val="nil"/>
              <w:bottom w:val="single" w:sz="4" w:space="0" w:color="auto"/>
            </w:tcBorders>
          </w:tcPr>
          <w:p w:rsidR="00F7644F" w:rsidRPr="00A318E8" w:rsidRDefault="00F7644F" w:rsidP="00F7644F">
            <w:pPr>
              <w:spacing w:after="0" w:line="480" w:lineRule="auto"/>
              <w:jc w:val="center"/>
              <w:rPr>
                <w:rFonts w:ascii="Times New Roman" w:hAnsi="Times New Roman" w:cs="Times New Roman"/>
                <w:sz w:val="24"/>
                <w:szCs w:val="24"/>
              </w:rPr>
            </w:pPr>
            <w:r w:rsidRPr="00A318E8">
              <w:rPr>
                <w:rFonts w:ascii="Times New Roman" w:hAnsi="Times New Roman" w:cs="Times New Roman"/>
                <w:sz w:val="24"/>
                <w:szCs w:val="24"/>
              </w:rPr>
              <w:t>5.59</w:t>
            </w:r>
          </w:p>
        </w:tc>
      </w:tr>
    </w:tbl>
    <w:p w:rsidR="00F618C2" w:rsidRPr="00A318E8" w:rsidRDefault="00F702F4" w:rsidP="00F618C2">
      <w:pPr>
        <w:spacing w:after="0"/>
        <w:rPr>
          <w:rFonts w:ascii="Times New Roman" w:eastAsiaTheme="minorEastAsia" w:hAnsi="Times New Roman" w:cs="Times New Roman"/>
        </w:rPr>
      </w:pPr>
      <w:r w:rsidRPr="00A318E8">
        <w:rPr>
          <w:rFonts w:ascii="Times New Roman" w:eastAsiaTheme="minorEastAsia" w:hAnsi="Times New Roman" w:cs="Times New Roman"/>
          <w:b/>
          <w:sz w:val="24"/>
          <w:szCs w:val="24"/>
        </w:rPr>
        <w:t xml:space="preserve"> </w:t>
      </w:r>
      <w:r w:rsidR="00F618C2" w:rsidRPr="00A318E8">
        <w:rPr>
          <w:rFonts w:ascii="Times New Roman" w:hAnsi="Times New Roman" w:cs="Times New Roman"/>
          <w:sz w:val="24"/>
          <w:szCs w:val="24"/>
        </w:rPr>
        <w:t>L= C</w:t>
      </w:r>
      <w:r w:rsidR="00F618C2" w:rsidRPr="00A318E8">
        <w:rPr>
          <w:rFonts w:ascii="Times New Roman" w:hAnsi="Times New Roman" w:cs="Times New Roman"/>
          <w:sz w:val="24"/>
          <w:szCs w:val="24"/>
          <w:vertAlign w:val="subscript"/>
        </w:rPr>
        <w:t>7</w:t>
      </w:r>
      <w:r w:rsidR="00F618C2" w:rsidRPr="00A318E8">
        <w:rPr>
          <w:rFonts w:ascii="Times New Roman" w:hAnsi="Times New Roman" w:cs="Times New Roman"/>
          <w:sz w:val="24"/>
          <w:szCs w:val="24"/>
        </w:rPr>
        <w:t>H</w:t>
      </w:r>
      <w:r w:rsidR="00F618C2" w:rsidRPr="00A318E8">
        <w:rPr>
          <w:rFonts w:ascii="Times New Roman" w:hAnsi="Times New Roman" w:cs="Times New Roman"/>
          <w:sz w:val="24"/>
          <w:szCs w:val="24"/>
          <w:vertAlign w:val="subscript"/>
        </w:rPr>
        <w:t>9</w:t>
      </w:r>
      <w:r w:rsidR="00F618C2" w:rsidRPr="00A318E8">
        <w:rPr>
          <w:rFonts w:ascii="Times New Roman" w:hAnsi="Times New Roman" w:cs="Times New Roman"/>
          <w:sz w:val="24"/>
          <w:szCs w:val="24"/>
        </w:rPr>
        <w:t>N</w:t>
      </w:r>
      <w:r w:rsidR="00F618C2" w:rsidRPr="00A318E8">
        <w:rPr>
          <w:rFonts w:ascii="Times New Roman" w:hAnsi="Times New Roman" w:cs="Times New Roman"/>
          <w:sz w:val="24"/>
          <w:szCs w:val="24"/>
          <w:vertAlign w:val="subscript"/>
        </w:rPr>
        <w:t>3</w:t>
      </w:r>
      <w:r w:rsidR="00F618C2"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00F618C2" w:rsidRPr="00A318E8">
        <w:rPr>
          <w:rFonts w:ascii="Times New Roman" w:hAnsi="Times New Roman" w:cs="Times New Roman"/>
          <w:sz w:val="24"/>
          <w:szCs w:val="24"/>
        </w:rPr>
        <w:t xml:space="preserve">  </w:t>
      </w:r>
    </w:p>
    <w:p w:rsidR="00F702F4" w:rsidRPr="00A318E8" w:rsidRDefault="00F702F4">
      <w:pPr>
        <w:rPr>
          <w:rFonts w:ascii="Times New Roman" w:eastAsiaTheme="minorEastAsia" w:hAnsi="Times New Roman" w:cs="Times New Roman"/>
          <w:b/>
          <w:sz w:val="24"/>
          <w:szCs w:val="24"/>
        </w:rPr>
      </w:pPr>
    </w:p>
    <w:p w:rsidR="00BD7CA4" w:rsidRPr="00A318E8" w:rsidRDefault="00695E5F">
      <w:pPr>
        <w:rPr>
          <w:rFonts w:ascii="Times New Roman" w:eastAsiaTheme="minorEastAsia" w:hAnsi="Times New Roman" w:cs="Times New Roman"/>
          <w:b/>
          <w:sz w:val="24"/>
          <w:szCs w:val="24"/>
        </w:rPr>
      </w:pPr>
      <w:r w:rsidRPr="00A318E8">
        <w:rPr>
          <w:rFonts w:ascii="Times New Roman" w:eastAsiaTheme="minorEastAsia" w:hAnsi="Times New Roman" w:cs="Times New Roman"/>
          <w:b/>
        </w:rPr>
        <w:t xml:space="preserve">Table 3: Magnetic Susceptibility data of </w:t>
      </w:r>
      <w:r w:rsidR="00C26814" w:rsidRPr="00A318E8">
        <w:rPr>
          <w:rFonts w:ascii="Times New Roman" w:eastAsiaTheme="minorEastAsia" w:hAnsi="Times New Roman" w:cs="Times New Roman"/>
          <w:b/>
        </w:rPr>
        <w:t>thiosemicarbazone</w:t>
      </w:r>
      <w:r w:rsidRPr="00A318E8">
        <w:rPr>
          <w:rFonts w:ascii="Times New Roman" w:eastAsiaTheme="minorEastAsia" w:hAnsi="Times New Roman" w:cs="Times New Roman"/>
          <w:b/>
        </w:rPr>
        <w:t xml:space="preserve"> Complexes </w:t>
      </w:r>
    </w:p>
    <w:tbl>
      <w:tblPr>
        <w:tblW w:w="10080" w:type="dxa"/>
        <w:tblInd w:w="-900" w:type="dxa"/>
        <w:tblBorders>
          <w:top w:val="single" w:sz="4" w:space="0" w:color="auto"/>
          <w:bottom w:val="single" w:sz="4" w:space="0" w:color="auto"/>
        </w:tblBorders>
        <w:tblLayout w:type="fixed"/>
        <w:tblLook w:val="04A0" w:firstRow="1" w:lastRow="0" w:firstColumn="1" w:lastColumn="0" w:noHBand="0" w:noVBand="1"/>
      </w:tblPr>
      <w:tblGrid>
        <w:gridCol w:w="1936"/>
        <w:gridCol w:w="1642"/>
        <w:gridCol w:w="1931"/>
        <w:gridCol w:w="1186"/>
        <w:gridCol w:w="445"/>
        <w:gridCol w:w="1341"/>
        <w:gridCol w:w="1599"/>
      </w:tblGrid>
      <w:tr w:rsidR="00FF2610" w:rsidRPr="00A318E8" w:rsidTr="00FF2610">
        <w:trPr>
          <w:trHeight w:val="726"/>
        </w:trPr>
        <w:tc>
          <w:tcPr>
            <w:tcW w:w="1936" w:type="dxa"/>
            <w:tcBorders>
              <w:top w:val="single" w:sz="4" w:space="0" w:color="auto"/>
              <w:bottom w:val="single" w:sz="4" w:space="0" w:color="auto"/>
            </w:tcBorders>
          </w:tcPr>
          <w:p w:rsidR="00FF2610" w:rsidRPr="00A318E8" w:rsidRDefault="00FF2610" w:rsidP="00A04CEF">
            <w:pPr>
              <w:spacing w:after="0" w:line="480" w:lineRule="auto"/>
              <w:jc w:val="both"/>
              <w:rPr>
                <w:rFonts w:ascii="Times New Roman" w:hAnsi="Times New Roman" w:cs="Times New Roman"/>
                <w:b/>
                <w:szCs w:val="24"/>
              </w:rPr>
            </w:pPr>
            <w:r w:rsidRPr="00A318E8">
              <w:rPr>
                <w:rFonts w:ascii="Times New Roman" w:hAnsi="Times New Roman" w:cs="Times New Roman"/>
                <w:b/>
                <w:szCs w:val="24"/>
              </w:rPr>
              <w:t>Compound</w:t>
            </w:r>
          </w:p>
        </w:tc>
        <w:tc>
          <w:tcPr>
            <w:tcW w:w="1642" w:type="dxa"/>
            <w:tcBorders>
              <w:top w:val="single" w:sz="4" w:space="0" w:color="auto"/>
              <w:bottom w:val="single" w:sz="4" w:space="0" w:color="auto"/>
            </w:tcBorders>
          </w:tcPr>
          <w:p w:rsidR="00FF2610" w:rsidRPr="00A318E8" w:rsidRDefault="00FF2610" w:rsidP="00A04CEF">
            <w:pPr>
              <w:spacing w:after="0" w:line="480" w:lineRule="auto"/>
              <w:jc w:val="center"/>
              <w:rPr>
                <w:rFonts w:ascii="Times New Roman" w:hAnsi="Times New Roman" w:cs="Times New Roman"/>
                <w:b/>
                <w:szCs w:val="24"/>
              </w:rPr>
            </w:pPr>
            <w:r w:rsidRPr="00A318E8">
              <w:rPr>
                <w:rFonts w:ascii="Times New Roman" w:hAnsi="Times New Roman" w:cs="Times New Roman"/>
                <w:b/>
                <w:szCs w:val="24"/>
              </w:rPr>
              <w:t>Xg(erg.c</w:t>
            </w:r>
            <w:r w:rsidRPr="00A318E8">
              <w:rPr>
                <w:rFonts w:ascii="Times New Roman" w:hAnsi="Times New Roman" w:cs="Times New Roman"/>
                <w:b/>
                <w:szCs w:val="24"/>
                <w:vertAlign w:val="superscript"/>
              </w:rPr>
              <w:t>-2</w:t>
            </w:r>
            <w:r w:rsidRPr="00A318E8">
              <w:rPr>
                <w:rFonts w:ascii="Times New Roman" w:hAnsi="Times New Roman" w:cs="Times New Roman"/>
                <w:b/>
                <w:szCs w:val="24"/>
              </w:rPr>
              <w:t>g</w:t>
            </w:r>
            <w:r w:rsidRPr="00A318E8">
              <w:rPr>
                <w:rFonts w:ascii="Times New Roman" w:hAnsi="Times New Roman" w:cs="Times New Roman"/>
                <w:b/>
                <w:szCs w:val="24"/>
                <w:vertAlign w:val="superscript"/>
              </w:rPr>
              <w:t>-1</w:t>
            </w:r>
            <w:r w:rsidRPr="00A318E8">
              <w:rPr>
                <w:rFonts w:ascii="Times New Roman" w:hAnsi="Times New Roman" w:cs="Times New Roman"/>
                <w:b/>
                <w:szCs w:val="24"/>
              </w:rPr>
              <w:t>)</w:t>
            </w:r>
          </w:p>
        </w:tc>
        <w:tc>
          <w:tcPr>
            <w:tcW w:w="1931" w:type="dxa"/>
            <w:tcBorders>
              <w:top w:val="single" w:sz="4" w:space="0" w:color="auto"/>
              <w:bottom w:val="single" w:sz="4" w:space="0" w:color="auto"/>
            </w:tcBorders>
          </w:tcPr>
          <w:p w:rsidR="00FF2610" w:rsidRPr="00A318E8" w:rsidRDefault="00FF2610" w:rsidP="00A04CEF">
            <w:pPr>
              <w:spacing w:after="0" w:line="480" w:lineRule="auto"/>
              <w:jc w:val="center"/>
              <w:rPr>
                <w:rFonts w:ascii="Times New Roman" w:hAnsi="Times New Roman" w:cs="Times New Roman"/>
                <w:b/>
                <w:szCs w:val="24"/>
              </w:rPr>
            </w:pPr>
            <w:r w:rsidRPr="00A318E8">
              <w:rPr>
                <w:rFonts w:ascii="Times New Roman" w:hAnsi="Times New Roman" w:cs="Times New Roman"/>
                <w:b/>
                <w:szCs w:val="24"/>
              </w:rPr>
              <w:t>Xm(erg.c</w:t>
            </w:r>
            <w:r w:rsidRPr="00A318E8">
              <w:rPr>
                <w:rFonts w:ascii="Times New Roman" w:hAnsi="Times New Roman" w:cs="Times New Roman"/>
                <w:b/>
                <w:szCs w:val="24"/>
                <w:vertAlign w:val="superscript"/>
              </w:rPr>
              <w:t>-2</w:t>
            </w:r>
            <w:r w:rsidRPr="00A318E8">
              <w:rPr>
                <w:rFonts w:ascii="Times New Roman" w:hAnsi="Times New Roman" w:cs="Times New Roman"/>
                <w:b/>
                <w:szCs w:val="24"/>
              </w:rPr>
              <w:t>mol</w:t>
            </w:r>
            <w:r w:rsidRPr="00A318E8">
              <w:rPr>
                <w:rFonts w:ascii="Times New Roman" w:hAnsi="Times New Roman" w:cs="Times New Roman"/>
                <w:b/>
                <w:szCs w:val="24"/>
                <w:vertAlign w:val="superscript"/>
              </w:rPr>
              <w:t>-1</w:t>
            </w:r>
            <w:r w:rsidRPr="00A318E8">
              <w:rPr>
                <w:rFonts w:ascii="Times New Roman" w:hAnsi="Times New Roman" w:cs="Times New Roman"/>
                <w:b/>
                <w:szCs w:val="24"/>
              </w:rPr>
              <w:t>)</w:t>
            </w:r>
          </w:p>
        </w:tc>
        <w:tc>
          <w:tcPr>
            <w:tcW w:w="1186" w:type="dxa"/>
            <w:tcBorders>
              <w:top w:val="single" w:sz="4" w:space="0" w:color="auto"/>
              <w:bottom w:val="single" w:sz="4" w:space="0" w:color="auto"/>
            </w:tcBorders>
          </w:tcPr>
          <w:p w:rsidR="00FF2610" w:rsidRPr="00A318E8" w:rsidRDefault="00FF2610" w:rsidP="00A04CEF">
            <w:pPr>
              <w:spacing w:after="0" w:line="480" w:lineRule="auto"/>
              <w:jc w:val="center"/>
              <w:rPr>
                <w:rFonts w:ascii="Times New Roman" w:hAnsi="Times New Roman" w:cs="Times New Roman"/>
                <w:b/>
                <w:szCs w:val="24"/>
              </w:rPr>
            </w:pPr>
            <w:r w:rsidRPr="00A318E8">
              <w:rPr>
                <w:rFonts w:ascii="Times New Roman" w:hAnsi="Times New Roman" w:cs="Times New Roman"/>
                <w:b/>
                <w:szCs w:val="24"/>
              </w:rPr>
              <w:t>µ</w:t>
            </w:r>
            <w:r w:rsidRPr="00A318E8">
              <w:rPr>
                <w:rFonts w:ascii="Times New Roman" w:hAnsi="Times New Roman" w:cs="Times New Roman"/>
                <w:b/>
                <w:szCs w:val="24"/>
                <w:vertAlign w:val="subscript"/>
              </w:rPr>
              <w:t>eff</w:t>
            </w:r>
            <w:r w:rsidRPr="00A318E8">
              <w:rPr>
                <w:rFonts w:ascii="Times New Roman" w:hAnsi="Times New Roman" w:cs="Times New Roman"/>
                <w:b/>
                <w:szCs w:val="24"/>
              </w:rPr>
              <w:t>(BM)</w:t>
            </w:r>
          </w:p>
        </w:tc>
        <w:tc>
          <w:tcPr>
            <w:tcW w:w="445" w:type="dxa"/>
            <w:tcBorders>
              <w:top w:val="single" w:sz="4" w:space="0" w:color="auto"/>
              <w:bottom w:val="single" w:sz="4" w:space="0" w:color="auto"/>
            </w:tcBorders>
          </w:tcPr>
          <w:p w:rsidR="00FF2610" w:rsidRPr="00A318E8" w:rsidRDefault="00FF2610" w:rsidP="00A04CEF">
            <w:pPr>
              <w:spacing w:after="0" w:line="480" w:lineRule="auto"/>
              <w:jc w:val="center"/>
              <w:rPr>
                <w:rFonts w:ascii="Times New Roman" w:hAnsi="Times New Roman" w:cs="Times New Roman"/>
                <w:b/>
                <w:szCs w:val="24"/>
              </w:rPr>
            </w:pPr>
            <w:r w:rsidRPr="00A318E8">
              <w:rPr>
                <w:rFonts w:ascii="Times New Roman" w:hAnsi="Times New Roman" w:cs="Times New Roman"/>
                <w:b/>
                <w:szCs w:val="24"/>
              </w:rPr>
              <w:t>n</w:t>
            </w:r>
          </w:p>
        </w:tc>
        <w:tc>
          <w:tcPr>
            <w:tcW w:w="1341" w:type="dxa"/>
            <w:tcBorders>
              <w:top w:val="single" w:sz="4" w:space="0" w:color="auto"/>
              <w:bottom w:val="single" w:sz="4" w:space="0" w:color="auto"/>
            </w:tcBorders>
          </w:tcPr>
          <w:p w:rsidR="00FF2610" w:rsidRPr="00A318E8" w:rsidRDefault="00FF2610" w:rsidP="00A04CEF">
            <w:pPr>
              <w:spacing w:after="0" w:line="480" w:lineRule="auto"/>
              <w:jc w:val="center"/>
              <w:rPr>
                <w:rFonts w:ascii="Times New Roman" w:hAnsi="Times New Roman" w:cs="Times New Roman"/>
                <w:b/>
                <w:szCs w:val="24"/>
              </w:rPr>
            </w:pPr>
            <w:r w:rsidRPr="00A318E8">
              <w:rPr>
                <w:rFonts w:ascii="Times New Roman" w:hAnsi="Times New Roman" w:cs="Times New Roman"/>
                <w:b/>
                <w:szCs w:val="24"/>
              </w:rPr>
              <w:t>Geometry</w:t>
            </w:r>
          </w:p>
        </w:tc>
        <w:tc>
          <w:tcPr>
            <w:tcW w:w="1599" w:type="dxa"/>
            <w:tcBorders>
              <w:top w:val="single" w:sz="4" w:space="0" w:color="auto"/>
              <w:bottom w:val="single" w:sz="4" w:space="0" w:color="auto"/>
            </w:tcBorders>
          </w:tcPr>
          <w:p w:rsidR="00FF2610" w:rsidRPr="00A318E8" w:rsidRDefault="00FF2610" w:rsidP="00A04CEF">
            <w:pPr>
              <w:spacing w:after="0" w:line="480" w:lineRule="auto"/>
              <w:jc w:val="center"/>
              <w:rPr>
                <w:rFonts w:ascii="Times New Roman" w:hAnsi="Times New Roman" w:cs="Times New Roman"/>
                <w:b/>
                <w:szCs w:val="24"/>
              </w:rPr>
            </w:pPr>
            <w:r w:rsidRPr="00A318E8">
              <w:rPr>
                <w:rFonts w:ascii="Times New Roman" w:hAnsi="Times New Roman" w:cs="Times New Roman"/>
                <w:b/>
                <w:szCs w:val="24"/>
              </w:rPr>
              <w:t>Property</w:t>
            </w:r>
          </w:p>
        </w:tc>
      </w:tr>
      <w:tr w:rsidR="00FF2610" w:rsidRPr="00A318E8" w:rsidTr="00FF2610">
        <w:trPr>
          <w:trHeight w:val="726"/>
        </w:trPr>
        <w:tc>
          <w:tcPr>
            <w:tcW w:w="1936" w:type="dxa"/>
            <w:tcBorders>
              <w:top w:val="single" w:sz="4" w:space="0" w:color="auto"/>
            </w:tcBorders>
            <w:shd w:val="clear" w:color="auto" w:fill="auto"/>
          </w:tcPr>
          <w:p w:rsidR="00FF2610" w:rsidRPr="00A318E8" w:rsidRDefault="00FF2610" w:rsidP="00F7644F">
            <w:pPr>
              <w:spacing w:after="0" w:line="480" w:lineRule="auto"/>
              <w:jc w:val="both"/>
              <w:rPr>
                <w:rFonts w:ascii="Times New Roman" w:hAnsi="Times New Roman" w:cs="Times New Roman"/>
                <w:szCs w:val="24"/>
              </w:rPr>
            </w:pPr>
            <w:r w:rsidRPr="00A318E8">
              <w:rPr>
                <w:rFonts w:ascii="Times New Roman" w:hAnsi="Times New Roman" w:cs="Times New Roman"/>
                <w:szCs w:val="24"/>
              </w:rPr>
              <w:t>[Ni(L)</w:t>
            </w:r>
            <w:r w:rsidRPr="00A318E8">
              <w:rPr>
                <w:rFonts w:ascii="Times New Roman" w:hAnsi="Times New Roman" w:cs="Times New Roman"/>
                <w:szCs w:val="24"/>
                <w:vertAlign w:val="subscript"/>
              </w:rPr>
              <w:t xml:space="preserve">2 </w:t>
            </w:r>
            <w:r w:rsidRPr="00A318E8">
              <w:rPr>
                <w:rFonts w:ascii="Times New Roman" w:hAnsi="Times New Roman" w:cs="Times New Roman"/>
                <w:bCs/>
                <w:szCs w:val="24"/>
                <w:lang w:val="en-US"/>
              </w:rPr>
              <w:t>Cl</w:t>
            </w:r>
            <w:r w:rsidRPr="00A318E8">
              <w:rPr>
                <w:rFonts w:ascii="Times New Roman" w:hAnsi="Times New Roman" w:cs="Times New Roman"/>
                <w:bCs/>
                <w:szCs w:val="24"/>
                <w:vertAlign w:val="subscript"/>
                <w:lang w:val="en-US"/>
              </w:rPr>
              <w:t>2</w:t>
            </w:r>
            <w:r w:rsidRPr="00A318E8">
              <w:rPr>
                <w:rFonts w:ascii="Times New Roman" w:hAnsi="Times New Roman" w:cs="Times New Roman"/>
                <w:szCs w:val="24"/>
              </w:rPr>
              <w:t>]</w:t>
            </w:r>
            <w:r w:rsidRPr="00A318E8">
              <w:rPr>
                <w:rFonts w:ascii="Times New Roman" w:hAnsi="Times New Roman" w:cs="Times New Roman"/>
                <w:szCs w:val="24"/>
                <w:lang w:val="en-US"/>
              </w:rPr>
              <w:t>.</w:t>
            </w:r>
            <w:r w:rsidRPr="00A318E8">
              <w:rPr>
                <w:rFonts w:ascii="Times New Roman" w:hAnsi="Times New Roman" w:cs="Times New Roman"/>
                <w:bCs/>
                <w:szCs w:val="24"/>
                <w:lang w:val="en-US"/>
              </w:rPr>
              <w:t>H</w:t>
            </w:r>
            <w:r w:rsidRPr="00A318E8">
              <w:rPr>
                <w:rFonts w:ascii="Times New Roman" w:hAnsi="Times New Roman" w:cs="Times New Roman"/>
                <w:bCs/>
                <w:szCs w:val="24"/>
                <w:vertAlign w:val="subscript"/>
                <w:lang w:val="en-US"/>
              </w:rPr>
              <w:t>2</w:t>
            </w:r>
            <w:r w:rsidRPr="00A318E8">
              <w:rPr>
                <w:rFonts w:ascii="Times New Roman" w:hAnsi="Times New Roman" w:cs="Times New Roman"/>
                <w:bCs/>
                <w:szCs w:val="24"/>
                <w:lang w:val="en-US"/>
              </w:rPr>
              <w:t>O</w:t>
            </w:r>
          </w:p>
        </w:tc>
        <w:tc>
          <w:tcPr>
            <w:tcW w:w="1642" w:type="dxa"/>
            <w:tcBorders>
              <w:top w:val="single" w:sz="4" w:space="0" w:color="auto"/>
            </w:tcBorders>
          </w:tcPr>
          <w:p w:rsidR="00FF2610" w:rsidRPr="00A318E8" w:rsidRDefault="00FF2610" w:rsidP="00F7644F">
            <w:pPr>
              <w:spacing w:after="0" w:line="480" w:lineRule="auto"/>
              <w:jc w:val="center"/>
              <w:rPr>
                <w:rFonts w:ascii="Times New Roman" w:hAnsi="Times New Roman" w:cs="Times New Roman"/>
                <w:szCs w:val="24"/>
              </w:rPr>
            </w:pPr>
            <w:r w:rsidRPr="00A318E8">
              <w:rPr>
                <w:rFonts w:ascii="Times New Roman" w:hAnsi="Times New Roman" w:cs="Times New Roman"/>
                <w:szCs w:val="24"/>
              </w:rPr>
              <w:t>8.449 × 10</w:t>
            </w:r>
            <w:r w:rsidRPr="00A318E8">
              <w:rPr>
                <w:rFonts w:ascii="Times New Roman" w:hAnsi="Times New Roman" w:cs="Times New Roman"/>
                <w:szCs w:val="24"/>
                <w:vertAlign w:val="superscript"/>
              </w:rPr>
              <w:t>-6</w:t>
            </w:r>
          </w:p>
        </w:tc>
        <w:tc>
          <w:tcPr>
            <w:tcW w:w="1931" w:type="dxa"/>
            <w:tcBorders>
              <w:top w:val="single" w:sz="4" w:space="0" w:color="auto"/>
            </w:tcBorders>
          </w:tcPr>
          <w:p w:rsidR="00FF2610" w:rsidRPr="00A318E8" w:rsidRDefault="00FF2610" w:rsidP="00F7644F">
            <w:pPr>
              <w:spacing w:after="0" w:line="480" w:lineRule="auto"/>
              <w:jc w:val="center"/>
              <w:rPr>
                <w:rFonts w:ascii="Times New Roman" w:hAnsi="Times New Roman" w:cs="Times New Roman"/>
                <w:szCs w:val="24"/>
              </w:rPr>
            </w:pPr>
            <w:r w:rsidRPr="00A318E8">
              <w:rPr>
                <w:rFonts w:ascii="Times New Roman" w:hAnsi="Times New Roman" w:cs="Times New Roman"/>
                <w:szCs w:val="24"/>
              </w:rPr>
              <w:t>4.352 × 10</w:t>
            </w:r>
            <w:r w:rsidRPr="00A318E8">
              <w:rPr>
                <w:rFonts w:ascii="Times New Roman" w:hAnsi="Times New Roman" w:cs="Times New Roman"/>
                <w:szCs w:val="24"/>
                <w:vertAlign w:val="superscript"/>
              </w:rPr>
              <w:t>-3</w:t>
            </w:r>
          </w:p>
        </w:tc>
        <w:tc>
          <w:tcPr>
            <w:tcW w:w="1186" w:type="dxa"/>
            <w:tcBorders>
              <w:top w:val="single" w:sz="4" w:space="0" w:color="auto"/>
            </w:tcBorders>
          </w:tcPr>
          <w:p w:rsidR="00FF2610" w:rsidRPr="00A318E8" w:rsidRDefault="00FF2610" w:rsidP="00F7644F">
            <w:pPr>
              <w:spacing w:after="0" w:line="480" w:lineRule="auto"/>
              <w:jc w:val="center"/>
              <w:rPr>
                <w:rFonts w:ascii="Times New Roman" w:hAnsi="Times New Roman" w:cs="Times New Roman"/>
                <w:szCs w:val="24"/>
              </w:rPr>
            </w:pPr>
            <w:r w:rsidRPr="00A318E8">
              <w:rPr>
                <w:rFonts w:ascii="Times New Roman" w:hAnsi="Times New Roman" w:cs="Times New Roman"/>
                <w:szCs w:val="24"/>
              </w:rPr>
              <w:t>3.22</w:t>
            </w:r>
          </w:p>
        </w:tc>
        <w:tc>
          <w:tcPr>
            <w:tcW w:w="445" w:type="dxa"/>
            <w:tcBorders>
              <w:top w:val="single" w:sz="4" w:space="0" w:color="auto"/>
            </w:tcBorders>
          </w:tcPr>
          <w:p w:rsidR="00FF2610" w:rsidRPr="00A318E8" w:rsidRDefault="00FF2610" w:rsidP="00F7644F">
            <w:pPr>
              <w:spacing w:after="0" w:line="480" w:lineRule="auto"/>
              <w:jc w:val="center"/>
              <w:rPr>
                <w:rFonts w:ascii="Times New Roman" w:hAnsi="Times New Roman" w:cs="Times New Roman"/>
                <w:szCs w:val="24"/>
              </w:rPr>
            </w:pPr>
            <w:r w:rsidRPr="00A318E8">
              <w:rPr>
                <w:rFonts w:ascii="Times New Roman" w:hAnsi="Times New Roman" w:cs="Times New Roman"/>
                <w:szCs w:val="24"/>
              </w:rPr>
              <w:t>2</w:t>
            </w:r>
          </w:p>
        </w:tc>
        <w:tc>
          <w:tcPr>
            <w:tcW w:w="1341" w:type="dxa"/>
            <w:tcBorders>
              <w:top w:val="single" w:sz="4" w:space="0" w:color="auto"/>
            </w:tcBorders>
          </w:tcPr>
          <w:p w:rsidR="00FF2610" w:rsidRPr="00A318E8" w:rsidRDefault="00FF2610" w:rsidP="00F7644F">
            <w:pPr>
              <w:spacing w:after="0" w:line="480" w:lineRule="auto"/>
              <w:jc w:val="center"/>
              <w:rPr>
                <w:rFonts w:ascii="Times New Roman" w:hAnsi="Times New Roman" w:cs="Times New Roman"/>
                <w:szCs w:val="24"/>
              </w:rPr>
            </w:pPr>
            <w:r w:rsidRPr="00A318E8">
              <w:rPr>
                <w:rFonts w:ascii="Times New Roman" w:hAnsi="Times New Roman" w:cs="Times New Roman"/>
                <w:szCs w:val="24"/>
              </w:rPr>
              <w:t>Octahedral</w:t>
            </w:r>
          </w:p>
        </w:tc>
        <w:tc>
          <w:tcPr>
            <w:tcW w:w="1599" w:type="dxa"/>
            <w:tcBorders>
              <w:top w:val="single" w:sz="4" w:space="0" w:color="auto"/>
            </w:tcBorders>
          </w:tcPr>
          <w:p w:rsidR="00FF2610" w:rsidRPr="00A318E8" w:rsidRDefault="00FF2610" w:rsidP="00342E7B">
            <w:pPr>
              <w:spacing w:after="0" w:line="480" w:lineRule="auto"/>
              <w:jc w:val="center"/>
              <w:rPr>
                <w:rFonts w:ascii="Times New Roman" w:hAnsi="Times New Roman" w:cs="Times New Roman"/>
                <w:szCs w:val="24"/>
              </w:rPr>
            </w:pPr>
            <w:r w:rsidRPr="00A318E8">
              <w:rPr>
                <w:rFonts w:ascii="Times New Roman" w:hAnsi="Times New Roman" w:cs="Times New Roman"/>
                <w:szCs w:val="24"/>
              </w:rPr>
              <w:t>Paramagnetic</w:t>
            </w:r>
          </w:p>
        </w:tc>
      </w:tr>
      <w:tr w:rsidR="00FF2610" w:rsidRPr="00A318E8" w:rsidTr="00FF2610">
        <w:trPr>
          <w:trHeight w:val="712"/>
        </w:trPr>
        <w:tc>
          <w:tcPr>
            <w:tcW w:w="1936" w:type="dxa"/>
            <w:shd w:val="clear" w:color="auto" w:fill="auto"/>
          </w:tcPr>
          <w:p w:rsidR="00FF2610" w:rsidRPr="00A318E8" w:rsidRDefault="00FF2610" w:rsidP="00212C67">
            <w:pPr>
              <w:spacing w:after="0" w:line="480" w:lineRule="auto"/>
              <w:jc w:val="both"/>
              <w:rPr>
                <w:rFonts w:ascii="Times New Roman" w:hAnsi="Times New Roman" w:cs="Times New Roman"/>
                <w:szCs w:val="24"/>
                <w:lang w:val="en-US"/>
              </w:rPr>
            </w:pPr>
            <w:r w:rsidRPr="00A318E8">
              <w:rPr>
                <w:rFonts w:ascii="Times New Roman" w:hAnsi="Times New Roman" w:cs="Times New Roman"/>
                <w:szCs w:val="24"/>
              </w:rPr>
              <w:t>[Cu(L)</w:t>
            </w:r>
            <w:r w:rsidRPr="00A318E8">
              <w:rPr>
                <w:rFonts w:ascii="Times New Roman" w:hAnsi="Times New Roman" w:cs="Times New Roman"/>
                <w:szCs w:val="24"/>
                <w:vertAlign w:val="subscript"/>
              </w:rPr>
              <w:t>2</w:t>
            </w:r>
            <w:r w:rsidRPr="00A318E8">
              <w:rPr>
                <w:rFonts w:ascii="Times New Roman" w:hAnsi="Times New Roman" w:cs="Times New Roman"/>
                <w:bCs/>
                <w:szCs w:val="24"/>
                <w:lang w:val="en-US"/>
              </w:rPr>
              <w:t>Cl</w:t>
            </w:r>
            <w:r w:rsidRPr="00A318E8">
              <w:rPr>
                <w:rFonts w:ascii="Times New Roman" w:hAnsi="Times New Roman" w:cs="Times New Roman"/>
                <w:bCs/>
                <w:szCs w:val="24"/>
                <w:vertAlign w:val="subscript"/>
                <w:lang w:val="en-US"/>
              </w:rPr>
              <w:t>2</w:t>
            </w:r>
            <w:r w:rsidRPr="00A318E8">
              <w:rPr>
                <w:rFonts w:ascii="Times New Roman" w:hAnsi="Times New Roman" w:cs="Times New Roman"/>
                <w:szCs w:val="24"/>
                <w:vertAlign w:val="subscript"/>
              </w:rPr>
              <w:t xml:space="preserve"> </w:t>
            </w:r>
            <w:r w:rsidRPr="00A318E8">
              <w:rPr>
                <w:rFonts w:ascii="Times New Roman" w:hAnsi="Times New Roman" w:cs="Times New Roman"/>
                <w:szCs w:val="24"/>
              </w:rPr>
              <w:t>]</w:t>
            </w:r>
            <w:r w:rsidRPr="00A318E8">
              <w:rPr>
                <w:rFonts w:ascii="Times New Roman" w:hAnsi="Times New Roman" w:cs="Times New Roman"/>
                <w:szCs w:val="24"/>
                <w:lang w:val="en-US"/>
              </w:rPr>
              <w:t>.</w:t>
            </w:r>
            <w:r w:rsidRPr="00A318E8">
              <w:rPr>
                <w:rFonts w:ascii="Times New Roman" w:hAnsi="Times New Roman" w:cs="Times New Roman"/>
                <w:bCs/>
                <w:szCs w:val="24"/>
                <w:lang w:val="en-US"/>
              </w:rPr>
              <w:t>H</w:t>
            </w:r>
            <w:r w:rsidRPr="00A318E8">
              <w:rPr>
                <w:rFonts w:ascii="Times New Roman" w:hAnsi="Times New Roman" w:cs="Times New Roman"/>
                <w:bCs/>
                <w:szCs w:val="24"/>
                <w:vertAlign w:val="subscript"/>
                <w:lang w:val="en-US"/>
              </w:rPr>
              <w:t>2</w:t>
            </w:r>
            <w:r w:rsidRPr="00A318E8">
              <w:rPr>
                <w:rFonts w:ascii="Times New Roman" w:hAnsi="Times New Roman" w:cs="Times New Roman"/>
                <w:bCs/>
                <w:szCs w:val="24"/>
                <w:lang w:val="en-US"/>
              </w:rPr>
              <w:t>O</w:t>
            </w:r>
          </w:p>
        </w:tc>
        <w:tc>
          <w:tcPr>
            <w:tcW w:w="1642"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3.</w:t>
            </w:r>
            <w:r w:rsidRPr="00A318E8">
              <w:rPr>
                <w:rFonts w:ascii="Times New Roman" w:hAnsi="Times New Roman" w:cs="Times New Roman"/>
                <w:szCs w:val="24"/>
                <w:lang w:val="en-US"/>
              </w:rPr>
              <w:t>600</w:t>
            </w:r>
            <w:r w:rsidRPr="00A318E8">
              <w:rPr>
                <w:rFonts w:ascii="Times New Roman" w:hAnsi="Times New Roman" w:cs="Times New Roman"/>
                <w:szCs w:val="24"/>
              </w:rPr>
              <w:t xml:space="preserve"> × 10</w:t>
            </w:r>
            <w:r w:rsidRPr="00A318E8">
              <w:rPr>
                <w:rFonts w:ascii="Times New Roman" w:hAnsi="Times New Roman" w:cs="Times New Roman"/>
                <w:szCs w:val="24"/>
                <w:vertAlign w:val="superscript"/>
              </w:rPr>
              <w:t>-6</w:t>
            </w:r>
          </w:p>
        </w:tc>
        <w:tc>
          <w:tcPr>
            <w:tcW w:w="1931"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1.</w:t>
            </w:r>
            <w:r w:rsidRPr="00A318E8">
              <w:rPr>
                <w:rFonts w:ascii="Times New Roman" w:hAnsi="Times New Roman" w:cs="Times New Roman"/>
                <w:szCs w:val="24"/>
                <w:lang w:val="en-US"/>
              </w:rPr>
              <w:t xml:space="preserve">868 </w:t>
            </w:r>
            <w:r w:rsidRPr="00A318E8">
              <w:rPr>
                <w:rFonts w:ascii="Times New Roman" w:hAnsi="Times New Roman" w:cs="Times New Roman"/>
                <w:szCs w:val="24"/>
              </w:rPr>
              <w:t>× 10</w:t>
            </w:r>
            <w:r w:rsidRPr="00A318E8">
              <w:rPr>
                <w:rFonts w:ascii="Times New Roman" w:hAnsi="Times New Roman" w:cs="Times New Roman"/>
                <w:szCs w:val="24"/>
                <w:vertAlign w:val="superscript"/>
              </w:rPr>
              <w:t>-3</w:t>
            </w:r>
          </w:p>
        </w:tc>
        <w:tc>
          <w:tcPr>
            <w:tcW w:w="1186" w:type="dxa"/>
          </w:tcPr>
          <w:p w:rsidR="00FF2610" w:rsidRPr="00A318E8" w:rsidRDefault="00FF2610" w:rsidP="00212C67">
            <w:pPr>
              <w:spacing w:after="0" w:line="480" w:lineRule="auto"/>
              <w:jc w:val="center"/>
              <w:rPr>
                <w:rFonts w:ascii="Times New Roman" w:hAnsi="Times New Roman" w:cs="Times New Roman"/>
                <w:szCs w:val="24"/>
                <w:lang w:val="en-US"/>
              </w:rPr>
            </w:pPr>
            <w:r w:rsidRPr="00A318E8">
              <w:rPr>
                <w:rFonts w:ascii="Times New Roman" w:hAnsi="Times New Roman" w:cs="Times New Roman"/>
                <w:szCs w:val="24"/>
              </w:rPr>
              <w:t>2.</w:t>
            </w:r>
            <w:r w:rsidRPr="00A318E8">
              <w:rPr>
                <w:rFonts w:ascii="Times New Roman" w:hAnsi="Times New Roman" w:cs="Times New Roman"/>
                <w:szCs w:val="24"/>
                <w:lang w:val="en-US"/>
              </w:rPr>
              <w:t>11</w:t>
            </w:r>
          </w:p>
        </w:tc>
        <w:tc>
          <w:tcPr>
            <w:tcW w:w="445"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1</w:t>
            </w:r>
          </w:p>
        </w:tc>
        <w:tc>
          <w:tcPr>
            <w:tcW w:w="1341"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Octahedral</w:t>
            </w:r>
          </w:p>
        </w:tc>
        <w:tc>
          <w:tcPr>
            <w:tcW w:w="1599" w:type="dxa"/>
          </w:tcPr>
          <w:p w:rsidR="00FF2610" w:rsidRPr="00A318E8" w:rsidRDefault="00FF2610" w:rsidP="00342E7B">
            <w:pPr>
              <w:spacing w:after="0" w:line="480" w:lineRule="auto"/>
              <w:jc w:val="center"/>
              <w:rPr>
                <w:rFonts w:ascii="Times New Roman" w:hAnsi="Times New Roman" w:cs="Times New Roman"/>
                <w:szCs w:val="24"/>
              </w:rPr>
            </w:pPr>
            <w:r w:rsidRPr="00A318E8">
              <w:rPr>
                <w:rFonts w:ascii="Times New Roman" w:hAnsi="Times New Roman" w:cs="Times New Roman"/>
                <w:szCs w:val="24"/>
              </w:rPr>
              <w:t>Paramagnetic</w:t>
            </w:r>
          </w:p>
        </w:tc>
      </w:tr>
      <w:tr w:rsidR="00FF2610" w:rsidRPr="00A318E8" w:rsidTr="00FF2610">
        <w:trPr>
          <w:trHeight w:val="712"/>
        </w:trPr>
        <w:tc>
          <w:tcPr>
            <w:tcW w:w="1936" w:type="dxa"/>
            <w:shd w:val="clear" w:color="auto" w:fill="auto"/>
          </w:tcPr>
          <w:p w:rsidR="00FF2610" w:rsidRPr="00A318E8" w:rsidRDefault="00FF2610" w:rsidP="00212C67">
            <w:pPr>
              <w:spacing w:after="0" w:line="480" w:lineRule="auto"/>
              <w:jc w:val="both"/>
              <w:rPr>
                <w:rFonts w:ascii="Times New Roman" w:hAnsi="Times New Roman" w:cs="Times New Roman"/>
                <w:szCs w:val="24"/>
                <w:lang w:val="en-US"/>
              </w:rPr>
            </w:pPr>
            <w:r w:rsidRPr="00A318E8">
              <w:rPr>
                <w:rFonts w:ascii="Times New Roman" w:hAnsi="Times New Roman" w:cs="Times New Roman"/>
                <w:szCs w:val="24"/>
              </w:rPr>
              <w:t>[Zn(L)</w:t>
            </w:r>
            <w:r w:rsidRPr="00A318E8">
              <w:rPr>
                <w:rFonts w:ascii="Times New Roman" w:hAnsi="Times New Roman" w:cs="Times New Roman"/>
                <w:szCs w:val="24"/>
                <w:vertAlign w:val="subscript"/>
              </w:rPr>
              <w:t>2</w:t>
            </w:r>
            <w:r w:rsidRPr="00A318E8">
              <w:rPr>
                <w:rFonts w:ascii="Times New Roman" w:hAnsi="Times New Roman" w:cs="Times New Roman"/>
                <w:bCs/>
                <w:szCs w:val="24"/>
                <w:lang w:val="en-US"/>
              </w:rPr>
              <w:t>Cl</w:t>
            </w:r>
            <w:r w:rsidRPr="00A318E8">
              <w:rPr>
                <w:rFonts w:ascii="Times New Roman" w:hAnsi="Times New Roman" w:cs="Times New Roman"/>
                <w:bCs/>
                <w:szCs w:val="24"/>
                <w:vertAlign w:val="subscript"/>
                <w:lang w:val="en-US"/>
              </w:rPr>
              <w:t>2</w:t>
            </w:r>
            <w:r w:rsidRPr="00A318E8">
              <w:rPr>
                <w:rFonts w:ascii="Times New Roman" w:hAnsi="Times New Roman" w:cs="Times New Roman"/>
                <w:szCs w:val="24"/>
                <w:vertAlign w:val="subscript"/>
              </w:rPr>
              <w:t xml:space="preserve"> </w:t>
            </w:r>
            <w:r w:rsidRPr="00A318E8">
              <w:rPr>
                <w:rFonts w:ascii="Times New Roman" w:hAnsi="Times New Roman" w:cs="Times New Roman"/>
                <w:szCs w:val="24"/>
              </w:rPr>
              <w:t>]</w:t>
            </w:r>
            <w:r w:rsidRPr="00A318E8">
              <w:rPr>
                <w:rFonts w:ascii="Times New Roman" w:hAnsi="Times New Roman" w:cs="Times New Roman"/>
                <w:szCs w:val="24"/>
                <w:lang w:val="en-US"/>
              </w:rPr>
              <w:t>.2</w:t>
            </w:r>
            <w:r w:rsidRPr="00A318E8">
              <w:rPr>
                <w:rFonts w:ascii="Times New Roman" w:hAnsi="Times New Roman" w:cs="Times New Roman"/>
                <w:bCs/>
                <w:szCs w:val="24"/>
                <w:lang w:val="en-US"/>
              </w:rPr>
              <w:t>H</w:t>
            </w:r>
            <w:r w:rsidRPr="00A318E8">
              <w:rPr>
                <w:rFonts w:ascii="Times New Roman" w:hAnsi="Times New Roman" w:cs="Times New Roman"/>
                <w:bCs/>
                <w:szCs w:val="24"/>
                <w:vertAlign w:val="subscript"/>
                <w:lang w:val="en-US"/>
              </w:rPr>
              <w:t>2</w:t>
            </w:r>
            <w:r w:rsidRPr="00A318E8">
              <w:rPr>
                <w:rFonts w:ascii="Times New Roman" w:hAnsi="Times New Roman" w:cs="Times New Roman"/>
                <w:bCs/>
                <w:szCs w:val="24"/>
                <w:lang w:val="en-US"/>
              </w:rPr>
              <w:t>O</w:t>
            </w:r>
          </w:p>
        </w:tc>
        <w:tc>
          <w:tcPr>
            <w:tcW w:w="1642"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w:t>
            </w:r>
            <w:r w:rsidRPr="00A318E8">
              <w:rPr>
                <w:rFonts w:ascii="Times New Roman" w:hAnsi="Times New Roman" w:cs="Times New Roman"/>
                <w:szCs w:val="24"/>
                <w:lang w:val="en-US"/>
              </w:rPr>
              <w:t>5</w:t>
            </w:r>
            <w:r w:rsidRPr="00A318E8">
              <w:rPr>
                <w:rFonts w:ascii="Times New Roman" w:hAnsi="Times New Roman" w:cs="Times New Roman"/>
                <w:szCs w:val="24"/>
              </w:rPr>
              <w:t>.</w:t>
            </w:r>
            <w:r w:rsidRPr="00A318E8">
              <w:rPr>
                <w:rFonts w:ascii="Times New Roman" w:hAnsi="Times New Roman" w:cs="Times New Roman"/>
                <w:szCs w:val="24"/>
                <w:lang w:val="en-US"/>
              </w:rPr>
              <w:t>000</w:t>
            </w:r>
            <w:r w:rsidRPr="00A318E8">
              <w:rPr>
                <w:rFonts w:ascii="Times New Roman" w:hAnsi="Times New Roman" w:cs="Times New Roman"/>
                <w:szCs w:val="24"/>
              </w:rPr>
              <w:t xml:space="preserve"> × 10</w:t>
            </w:r>
            <w:r w:rsidRPr="00A318E8">
              <w:rPr>
                <w:rFonts w:ascii="Times New Roman" w:hAnsi="Times New Roman" w:cs="Times New Roman"/>
                <w:szCs w:val="24"/>
                <w:vertAlign w:val="superscript"/>
              </w:rPr>
              <w:t>-7</w:t>
            </w:r>
          </w:p>
        </w:tc>
        <w:tc>
          <w:tcPr>
            <w:tcW w:w="1931"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-2.</w:t>
            </w:r>
            <w:r w:rsidRPr="00A318E8">
              <w:rPr>
                <w:rFonts w:ascii="Times New Roman" w:hAnsi="Times New Roman" w:cs="Times New Roman"/>
                <w:szCs w:val="24"/>
                <w:lang w:val="en-US"/>
              </w:rPr>
              <w:t>700</w:t>
            </w:r>
            <w:r w:rsidRPr="00A318E8">
              <w:rPr>
                <w:rFonts w:ascii="Times New Roman" w:hAnsi="Times New Roman" w:cs="Times New Roman"/>
                <w:szCs w:val="24"/>
              </w:rPr>
              <w:t xml:space="preserve"> × 10</w:t>
            </w:r>
            <w:r w:rsidRPr="00A318E8">
              <w:rPr>
                <w:rFonts w:ascii="Times New Roman" w:hAnsi="Times New Roman" w:cs="Times New Roman"/>
                <w:szCs w:val="24"/>
                <w:vertAlign w:val="superscript"/>
              </w:rPr>
              <w:t>-4</w:t>
            </w:r>
          </w:p>
        </w:tc>
        <w:tc>
          <w:tcPr>
            <w:tcW w:w="1186"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-ve</w:t>
            </w:r>
          </w:p>
        </w:tc>
        <w:tc>
          <w:tcPr>
            <w:tcW w:w="445" w:type="dxa"/>
          </w:tcPr>
          <w:p w:rsidR="00FF2610" w:rsidRPr="00A318E8" w:rsidRDefault="00FF2610" w:rsidP="00212C67">
            <w:pPr>
              <w:spacing w:after="0" w:line="480" w:lineRule="auto"/>
              <w:jc w:val="center"/>
              <w:rPr>
                <w:rFonts w:ascii="Times New Roman" w:hAnsi="Times New Roman" w:cs="Times New Roman"/>
                <w:szCs w:val="24"/>
                <w:lang w:val="en-US"/>
              </w:rPr>
            </w:pPr>
            <w:r w:rsidRPr="00A318E8">
              <w:rPr>
                <w:rFonts w:ascii="Times New Roman" w:hAnsi="Times New Roman" w:cs="Times New Roman"/>
                <w:szCs w:val="24"/>
                <w:lang w:val="en-US"/>
              </w:rPr>
              <w:t>0</w:t>
            </w:r>
          </w:p>
        </w:tc>
        <w:tc>
          <w:tcPr>
            <w:tcW w:w="1341" w:type="dxa"/>
          </w:tcPr>
          <w:p w:rsidR="00FF2610" w:rsidRPr="00A318E8" w:rsidRDefault="00FF2610" w:rsidP="00212C67">
            <w:pPr>
              <w:spacing w:after="0" w:line="480" w:lineRule="auto"/>
              <w:jc w:val="center"/>
              <w:rPr>
                <w:rFonts w:ascii="Times New Roman" w:hAnsi="Times New Roman" w:cs="Times New Roman"/>
                <w:szCs w:val="24"/>
              </w:rPr>
            </w:pPr>
            <w:r w:rsidRPr="00A318E8">
              <w:rPr>
                <w:rFonts w:ascii="Times New Roman" w:hAnsi="Times New Roman" w:cs="Times New Roman"/>
                <w:szCs w:val="24"/>
              </w:rPr>
              <w:t>Octahedral</w:t>
            </w:r>
          </w:p>
        </w:tc>
        <w:tc>
          <w:tcPr>
            <w:tcW w:w="1599" w:type="dxa"/>
          </w:tcPr>
          <w:p w:rsidR="00FF2610" w:rsidRPr="00A318E8" w:rsidRDefault="00223C52" w:rsidP="00342E7B">
            <w:pPr>
              <w:spacing w:after="0" w:line="480" w:lineRule="auto"/>
              <w:jc w:val="center"/>
              <w:rPr>
                <w:rFonts w:ascii="Times New Roman" w:hAnsi="Times New Roman" w:cs="Times New Roman"/>
                <w:szCs w:val="24"/>
              </w:rPr>
            </w:pPr>
            <w:r>
              <w:rPr>
                <w:rFonts w:ascii="Times New Roman" w:hAnsi="Times New Roman" w:cs="Times New Roman"/>
                <w:szCs w:val="24"/>
              </w:rPr>
              <w:t>Diamagnetic</w:t>
            </w:r>
          </w:p>
        </w:tc>
      </w:tr>
    </w:tbl>
    <w:p w:rsidR="00F702F4" w:rsidRPr="00A318E8" w:rsidRDefault="00F618C2">
      <w:pPr>
        <w:rPr>
          <w:rFonts w:ascii="Times New Roman" w:eastAsiaTheme="minorEastAsia" w:hAnsi="Times New Roman" w:cs="Times New Roman"/>
          <w:b/>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F702F4" w:rsidRPr="00A318E8" w:rsidRDefault="00F702F4">
      <w:pPr>
        <w:rPr>
          <w:rFonts w:ascii="Times New Roman" w:eastAsiaTheme="minorEastAsia" w:hAnsi="Times New Roman" w:cs="Times New Roman"/>
          <w:b/>
        </w:rPr>
      </w:pPr>
    </w:p>
    <w:p w:rsidR="00236E1C" w:rsidRPr="00A318E8" w:rsidRDefault="00236E1C">
      <w:pPr>
        <w:rPr>
          <w:rFonts w:ascii="Times New Roman" w:eastAsiaTheme="minorEastAsia" w:hAnsi="Times New Roman" w:cs="Times New Roman"/>
          <w:b/>
        </w:rPr>
      </w:pPr>
    </w:p>
    <w:p w:rsidR="00FF2610" w:rsidRDefault="00FF2610">
      <w:pPr>
        <w:rPr>
          <w:rFonts w:ascii="Times New Roman" w:eastAsiaTheme="minorEastAsia" w:hAnsi="Times New Roman" w:cs="Times New Roman"/>
          <w:b/>
        </w:rPr>
      </w:pPr>
    </w:p>
    <w:p w:rsidR="00FF2610" w:rsidRDefault="00FF2610">
      <w:pPr>
        <w:rPr>
          <w:rFonts w:ascii="Times New Roman" w:eastAsiaTheme="minorEastAsia" w:hAnsi="Times New Roman" w:cs="Times New Roman"/>
          <w:b/>
        </w:rPr>
      </w:pPr>
    </w:p>
    <w:p w:rsidR="00EE1421" w:rsidRDefault="00EE1421">
      <w:pPr>
        <w:rPr>
          <w:rFonts w:ascii="Times New Roman" w:eastAsiaTheme="minorEastAsia" w:hAnsi="Times New Roman" w:cs="Times New Roman"/>
          <w:b/>
        </w:rPr>
      </w:pPr>
    </w:p>
    <w:p w:rsidR="003B5159" w:rsidRDefault="003B5159">
      <w:pPr>
        <w:rPr>
          <w:rFonts w:ascii="Times New Roman" w:eastAsiaTheme="minorEastAsia" w:hAnsi="Times New Roman" w:cs="Times New Roman"/>
          <w:b/>
        </w:rPr>
      </w:pPr>
    </w:p>
    <w:p w:rsidR="005822AD" w:rsidRDefault="005822AD">
      <w:pPr>
        <w:rPr>
          <w:rFonts w:ascii="Times New Roman" w:eastAsiaTheme="minorEastAsia" w:hAnsi="Times New Roman" w:cs="Times New Roman"/>
          <w:b/>
        </w:rPr>
      </w:pPr>
    </w:p>
    <w:p w:rsidR="005822AD" w:rsidRDefault="005822AD">
      <w:pPr>
        <w:rPr>
          <w:rFonts w:ascii="Times New Roman" w:eastAsiaTheme="minorEastAsia" w:hAnsi="Times New Roman" w:cs="Times New Roman"/>
          <w:b/>
        </w:rPr>
      </w:pPr>
    </w:p>
    <w:p w:rsidR="005822AD" w:rsidRDefault="005822AD">
      <w:pPr>
        <w:rPr>
          <w:rFonts w:ascii="Times New Roman" w:eastAsiaTheme="minorEastAsia" w:hAnsi="Times New Roman" w:cs="Times New Roman"/>
          <w:b/>
        </w:rPr>
      </w:pPr>
    </w:p>
    <w:p w:rsidR="005822AD" w:rsidRDefault="005822AD">
      <w:pPr>
        <w:rPr>
          <w:rFonts w:ascii="Times New Roman" w:eastAsiaTheme="minorEastAsia" w:hAnsi="Times New Roman" w:cs="Times New Roman"/>
          <w:b/>
        </w:rPr>
      </w:pPr>
    </w:p>
    <w:p w:rsidR="00BD7CA4" w:rsidRPr="00A318E8" w:rsidRDefault="00695E5F">
      <w:pPr>
        <w:rPr>
          <w:rFonts w:ascii="Times New Roman" w:eastAsiaTheme="minorEastAsia" w:hAnsi="Times New Roman" w:cs="Times New Roman"/>
          <w:b/>
        </w:rPr>
      </w:pPr>
      <w:r w:rsidRPr="00A318E8">
        <w:rPr>
          <w:rFonts w:ascii="Times New Roman" w:eastAsiaTheme="minorEastAsia" w:hAnsi="Times New Roman" w:cs="Times New Roman"/>
          <w:b/>
        </w:rPr>
        <w:lastRenderedPageBreak/>
        <w:t xml:space="preserve">Table 4: Solubility test of Thiosemicarbazone and its Metal (II) Complexes in various solvents </w:t>
      </w:r>
    </w:p>
    <w:tbl>
      <w:tblPr>
        <w:tblW w:w="9670" w:type="dxa"/>
        <w:tblInd w:w="-231" w:type="dxa"/>
        <w:tblBorders>
          <w:top w:val="single" w:sz="4" w:space="0" w:color="auto"/>
          <w:bottom w:val="single" w:sz="4" w:space="0" w:color="auto"/>
        </w:tblBorders>
        <w:tblLayout w:type="fixed"/>
        <w:tblLook w:val="04A0" w:firstRow="1" w:lastRow="0" w:firstColumn="1" w:lastColumn="0" w:noHBand="0" w:noVBand="1"/>
      </w:tblPr>
      <w:tblGrid>
        <w:gridCol w:w="2522"/>
        <w:gridCol w:w="645"/>
        <w:gridCol w:w="807"/>
        <w:gridCol w:w="805"/>
        <w:gridCol w:w="645"/>
        <w:gridCol w:w="968"/>
        <w:gridCol w:w="645"/>
        <w:gridCol w:w="645"/>
        <w:gridCol w:w="932"/>
        <w:gridCol w:w="1056"/>
      </w:tblGrid>
      <w:tr w:rsidR="00212C67" w:rsidRPr="00A318E8" w:rsidTr="00FF2610">
        <w:trPr>
          <w:trHeight w:val="1975"/>
        </w:trPr>
        <w:tc>
          <w:tcPr>
            <w:tcW w:w="2522"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jc w:val="both"/>
              <w:rPr>
                <w:rFonts w:ascii="Times New Roman" w:hAnsi="Times New Roman" w:cs="Times New Roman"/>
                <w:b/>
                <w:sz w:val="24"/>
                <w:szCs w:val="24"/>
              </w:rPr>
            </w:pPr>
            <w:r w:rsidRPr="00A318E8">
              <w:rPr>
                <w:rFonts w:ascii="Times New Roman" w:hAnsi="Times New Roman" w:cs="Times New Roman"/>
                <w:b/>
                <w:sz w:val="24"/>
                <w:szCs w:val="24"/>
              </w:rPr>
              <w:t>Compound</w:t>
            </w:r>
          </w:p>
        </w:tc>
        <w:tc>
          <w:tcPr>
            <w:tcW w:w="645"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Water</w:t>
            </w:r>
          </w:p>
        </w:tc>
        <w:tc>
          <w:tcPr>
            <w:tcW w:w="807"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Methanol</w:t>
            </w:r>
          </w:p>
        </w:tc>
        <w:tc>
          <w:tcPr>
            <w:tcW w:w="805"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Ethanol</w:t>
            </w:r>
          </w:p>
        </w:tc>
        <w:tc>
          <w:tcPr>
            <w:tcW w:w="645"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D.ether</w:t>
            </w:r>
          </w:p>
        </w:tc>
        <w:tc>
          <w:tcPr>
            <w:tcW w:w="968"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Acetone</w:t>
            </w:r>
          </w:p>
        </w:tc>
        <w:tc>
          <w:tcPr>
            <w:tcW w:w="645"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DMSO</w:t>
            </w:r>
          </w:p>
        </w:tc>
        <w:tc>
          <w:tcPr>
            <w:tcW w:w="645"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DMF</w:t>
            </w:r>
          </w:p>
        </w:tc>
        <w:tc>
          <w:tcPr>
            <w:tcW w:w="932"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Hexane</w:t>
            </w:r>
          </w:p>
        </w:tc>
        <w:tc>
          <w:tcPr>
            <w:tcW w:w="1056" w:type="dxa"/>
            <w:tcBorders>
              <w:top w:val="single" w:sz="4" w:space="0" w:color="auto"/>
              <w:bottom w:val="single" w:sz="4" w:space="0" w:color="auto"/>
            </w:tcBorders>
            <w:textDirection w:val="btLr"/>
          </w:tcPr>
          <w:p w:rsidR="00212C67" w:rsidRPr="00A318E8" w:rsidRDefault="00212C67" w:rsidP="00A04CEF">
            <w:pPr>
              <w:spacing w:after="0" w:line="480" w:lineRule="auto"/>
              <w:ind w:left="113" w:right="113"/>
              <w:rPr>
                <w:rFonts w:ascii="Times New Roman" w:hAnsi="Times New Roman" w:cs="Times New Roman"/>
                <w:b/>
                <w:sz w:val="24"/>
                <w:szCs w:val="24"/>
              </w:rPr>
            </w:pPr>
            <w:r w:rsidRPr="00A318E8">
              <w:rPr>
                <w:rFonts w:ascii="Times New Roman" w:hAnsi="Times New Roman" w:cs="Times New Roman"/>
                <w:b/>
                <w:sz w:val="24"/>
                <w:szCs w:val="24"/>
              </w:rPr>
              <w:t>P.ether</w:t>
            </w:r>
          </w:p>
        </w:tc>
      </w:tr>
      <w:tr w:rsidR="00212C67" w:rsidRPr="00A318E8" w:rsidTr="00FF2610">
        <w:tblPrEx>
          <w:tblBorders>
            <w:top w:val="none" w:sz="0" w:space="0" w:color="auto"/>
            <w:bottom w:val="none" w:sz="0" w:space="0" w:color="auto"/>
          </w:tblBorders>
        </w:tblPrEx>
        <w:trPr>
          <w:trHeight w:val="731"/>
        </w:trPr>
        <w:tc>
          <w:tcPr>
            <w:tcW w:w="2522" w:type="dxa"/>
            <w:tcBorders>
              <w:top w:val="single" w:sz="4" w:space="0" w:color="auto"/>
              <w:left w:val="nil"/>
              <w:bottom w:val="nil"/>
              <w:right w:val="nil"/>
            </w:tcBorders>
          </w:tcPr>
          <w:p w:rsidR="00212C67" w:rsidRPr="00A318E8" w:rsidRDefault="00212C67" w:rsidP="00212C67">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lang w:val="en-US"/>
              </w:rPr>
              <w:t xml:space="preserve">Thiosemicarbazone </w:t>
            </w:r>
          </w:p>
        </w:tc>
        <w:tc>
          <w:tcPr>
            <w:tcW w:w="645"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807"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805"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968"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645"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645"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932"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1056" w:type="dxa"/>
            <w:tcBorders>
              <w:top w:val="single" w:sz="4" w:space="0" w:color="auto"/>
              <w:left w:val="nil"/>
              <w:bottom w:val="nil"/>
              <w:right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r>
      <w:tr w:rsidR="00212C67" w:rsidRPr="00A318E8" w:rsidTr="00FF2610">
        <w:trPr>
          <w:trHeight w:val="718"/>
        </w:trPr>
        <w:tc>
          <w:tcPr>
            <w:tcW w:w="2522" w:type="dxa"/>
            <w:tcBorders>
              <w:top w:val="nil"/>
              <w:bottom w:val="nil"/>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807"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80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968"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932"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1056"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r>
      <w:tr w:rsidR="00212C67" w:rsidRPr="00A318E8" w:rsidTr="00FF2610">
        <w:trPr>
          <w:trHeight w:val="718"/>
        </w:trPr>
        <w:tc>
          <w:tcPr>
            <w:tcW w:w="2522" w:type="dxa"/>
            <w:tcBorders>
              <w:top w:val="nil"/>
              <w:bottom w:val="nil"/>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807"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80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968"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645"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932"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1056" w:type="dxa"/>
            <w:tcBorders>
              <w:top w:val="nil"/>
              <w:bottom w:val="nil"/>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r>
      <w:tr w:rsidR="00212C67" w:rsidRPr="00A318E8" w:rsidTr="00FF2610">
        <w:trPr>
          <w:trHeight w:val="731"/>
        </w:trPr>
        <w:tc>
          <w:tcPr>
            <w:tcW w:w="2522" w:type="dxa"/>
            <w:tcBorders>
              <w:top w:val="nil"/>
              <w:bottom w:val="single" w:sz="4" w:space="0" w:color="auto"/>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645"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807"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805"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968"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SS</w:t>
            </w:r>
          </w:p>
        </w:tc>
        <w:tc>
          <w:tcPr>
            <w:tcW w:w="645"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645"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S</w:t>
            </w:r>
          </w:p>
        </w:tc>
        <w:tc>
          <w:tcPr>
            <w:tcW w:w="932"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c>
          <w:tcPr>
            <w:tcW w:w="1056" w:type="dxa"/>
            <w:tcBorders>
              <w:top w:val="nil"/>
              <w:bottom w:val="single" w:sz="4" w:space="0" w:color="auto"/>
            </w:tcBorders>
          </w:tcPr>
          <w:p w:rsidR="00212C67" w:rsidRPr="00A318E8" w:rsidRDefault="00212C67" w:rsidP="00A04CEF">
            <w:pPr>
              <w:spacing w:after="0" w:line="480" w:lineRule="auto"/>
              <w:rPr>
                <w:rFonts w:ascii="Times New Roman" w:hAnsi="Times New Roman" w:cs="Times New Roman"/>
                <w:sz w:val="24"/>
                <w:szCs w:val="24"/>
              </w:rPr>
            </w:pPr>
            <w:r w:rsidRPr="00A318E8">
              <w:rPr>
                <w:rFonts w:ascii="Times New Roman" w:hAnsi="Times New Roman" w:cs="Times New Roman"/>
                <w:sz w:val="24"/>
                <w:szCs w:val="24"/>
              </w:rPr>
              <w:t>IS</w:t>
            </w:r>
          </w:p>
        </w:tc>
      </w:tr>
    </w:tbl>
    <w:p w:rsidR="00212C67" w:rsidRPr="00A318E8" w:rsidRDefault="00212C67" w:rsidP="00212C67">
      <w:pPr>
        <w:spacing w:line="480" w:lineRule="auto"/>
        <w:jc w:val="both"/>
        <w:rPr>
          <w:rFonts w:ascii="Times New Roman" w:hAnsi="Times New Roman" w:cs="Times New Roman"/>
          <w:sz w:val="24"/>
          <w:szCs w:val="24"/>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Pr="00A318E8">
        <w:rPr>
          <w:rFonts w:ascii="Times New Roman" w:hAnsi="Times New Roman" w:cs="Times New Roman"/>
          <w:sz w:val="24"/>
          <w:szCs w:val="24"/>
        </w:rPr>
        <w:t>, S=soluble, SS= slightly soluble, IS= insoluble</w:t>
      </w:r>
    </w:p>
    <w:p w:rsidR="00BD7CA4" w:rsidRPr="00A318E8" w:rsidRDefault="00695E5F">
      <w:pPr>
        <w:tabs>
          <w:tab w:val="left" w:pos="2202"/>
        </w:tabs>
        <w:rPr>
          <w:rFonts w:ascii="Times New Roman" w:eastAsiaTheme="minorEastAsia" w:hAnsi="Times New Roman" w:cs="Times New Roman"/>
        </w:rPr>
      </w:pPr>
      <w:r w:rsidRPr="00A318E8">
        <w:rPr>
          <w:rFonts w:ascii="Times New Roman" w:eastAsiaTheme="minorEastAsia" w:hAnsi="Times New Roman" w:cs="Times New Roman"/>
        </w:rPr>
        <w:tab/>
      </w:r>
    </w:p>
    <w:p w:rsidR="00BD7CA4" w:rsidRPr="00A318E8" w:rsidRDefault="00695E5F">
      <w:pPr>
        <w:tabs>
          <w:tab w:val="left" w:pos="2202"/>
        </w:tabs>
        <w:rPr>
          <w:rFonts w:ascii="Times New Roman" w:eastAsiaTheme="minorEastAsia" w:hAnsi="Times New Roman" w:cs="Times New Roman"/>
          <w:b/>
        </w:rPr>
      </w:pPr>
      <w:r w:rsidRPr="00A318E8">
        <w:rPr>
          <w:rFonts w:ascii="Times New Roman" w:eastAsiaTheme="minorEastAsia" w:hAnsi="Times New Roman" w:cs="Times New Roman"/>
          <w:b/>
        </w:rPr>
        <w:t xml:space="preserve">Table5: Infrared Spectral data of Thiosemicarbazone and its Metal (II) Complexes </w:t>
      </w:r>
    </w:p>
    <w:tbl>
      <w:tblPr>
        <w:tblW w:w="9456" w:type="dxa"/>
        <w:tblInd w:w="-141" w:type="dxa"/>
        <w:tblLook w:val="04A0" w:firstRow="1" w:lastRow="0" w:firstColumn="1" w:lastColumn="0" w:noHBand="0" w:noVBand="1"/>
      </w:tblPr>
      <w:tblGrid>
        <w:gridCol w:w="2126"/>
        <w:gridCol w:w="1105"/>
        <w:gridCol w:w="1060"/>
        <w:gridCol w:w="1095"/>
        <w:gridCol w:w="992"/>
        <w:gridCol w:w="993"/>
        <w:gridCol w:w="992"/>
        <w:gridCol w:w="1093"/>
      </w:tblGrid>
      <w:tr w:rsidR="00212C67" w:rsidRPr="00A318E8" w:rsidTr="005E1E23">
        <w:trPr>
          <w:trHeight w:val="1405"/>
        </w:trPr>
        <w:tc>
          <w:tcPr>
            <w:tcW w:w="2126" w:type="dxa"/>
            <w:tcBorders>
              <w:top w:val="single" w:sz="4" w:space="0" w:color="auto"/>
              <w:left w:val="nil"/>
              <w:bottom w:val="single" w:sz="4" w:space="0" w:color="auto"/>
              <w:right w:val="nil"/>
            </w:tcBorders>
          </w:tcPr>
          <w:p w:rsidR="00212C67" w:rsidRPr="00A318E8" w:rsidRDefault="00212C67" w:rsidP="00A04CEF">
            <w:pPr>
              <w:spacing w:after="0" w:line="480" w:lineRule="auto"/>
              <w:rPr>
                <w:rFonts w:ascii="Times New Roman" w:hAnsi="Times New Roman" w:cs="Times New Roman"/>
                <w:b/>
                <w:sz w:val="24"/>
                <w:szCs w:val="24"/>
              </w:rPr>
            </w:pPr>
            <w:r w:rsidRPr="00A318E8">
              <w:rPr>
                <w:rFonts w:ascii="Times New Roman" w:hAnsi="Times New Roman" w:cs="Times New Roman"/>
                <w:b/>
                <w:sz w:val="24"/>
                <w:szCs w:val="24"/>
              </w:rPr>
              <w:t>Compounds</w:t>
            </w:r>
          </w:p>
        </w:tc>
        <w:tc>
          <w:tcPr>
            <w:tcW w:w="1105" w:type="dxa"/>
            <w:tcBorders>
              <w:top w:val="single" w:sz="4" w:space="0" w:color="auto"/>
              <w:left w:val="nil"/>
              <w:bottom w:val="single" w:sz="4" w:space="0" w:color="auto"/>
              <w:right w:val="nil"/>
            </w:tcBorders>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(-OH) cm</w:t>
            </w:r>
            <w:r w:rsidRPr="00A318E8">
              <w:rPr>
                <w:rFonts w:ascii="Times New Roman" w:hAnsi="Times New Roman" w:cs="Times New Roman"/>
                <w:b/>
                <w:sz w:val="24"/>
                <w:szCs w:val="24"/>
                <w:vertAlign w:val="superscript"/>
              </w:rPr>
              <w:t>-1</w:t>
            </w:r>
          </w:p>
        </w:tc>
        <w:tc>
          <w:tcPr>
            <w:tcW w:w="1060" w:type="dxa"/>
            <w:tcBorders>
              <w:top w:val="single" w:sz="4" w:space="0" w:color="auto"/>
              <w:left w:val="nil"/>
              <w:bottom w:val="single" w:sz="4" w:space="0" w:color="auto"/>
              <w:right w:val="nil"/>
            </w:tcBorders>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(C=N) cm</w:t>
            </w:r>
            <w:r w:rsidRPr="00A318E8">
              <w:rPr>
                <w:rFonts w:ascii="Times New Roman" w:hAnsi="Times New Roman" w:cs="Times New Roman"/>
                <w:b/>
                <w:sz w:val="24"/>
                <w:szCs w:val="24"/>
                <w:vertAlign w:val="superscript"/>
              </w:rPr>
              <w:t>-1</w:t>
            </w:r>
          </w:p>
        </w:tc>
        <w:tc>
          <w:tcPr>
            <w:tcW w:w="1095" w:type="dxa"/>
            <w:tcBorders>
              <w:top w:val="single" w:sz="4" w:space="0" w:color="auto"/>
              <w:left w:val="nil"/>
              <w:bottom w:val="single" w:sz="4" w:space="0" w:color="auto"/>
              <w:right w:val="nil"/>
            </w:tcBorders>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(C=S) cm</w:t>
            </w:r>
            <w:r w:rsidRPr="00A318E8">
              <w:rPr>
                <w:rFonts w:ascii="Times New Roman" w:hAnsi="Times New Roman" w:cs="Times New Roman"/>
                <w:b/>
                <w:sz w:val="24"/>
                <w:szCs w:val="24"/>
                <w:vertAlign w:val="superscript"/>
              </w:rPr>
              <w:t>-1</w:t>
            </w:r>
          </w:p>
        </w:tc>
        <w:tc>
          <w:tcPr>
            <w:tcW w:w="992" w:type="dxa"/>
            <w:tcBorders>
              <w:top w:val="single" w:sz="4" w:space="0" w:color="auto"/>
              <w:left w:val="nil"/>
              <w:bottom w:val="single" w:sz="4" w:space="0" w:color="auto"/>
              <w:right w:val="nil"/>
            </w:tcBorders>
            <w:shd w:val="clear" w:color="auto" w:fill="auto"/>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(C</w:t>
            </w:r>
            <w:r w:rsidRPr="00A318E8">
              <w:rPr>
                <w:rFonts w:ascii="Times New Roman" w:hAnsi="Times New Roman" w:cs="Times New Roman"/>
                <w:b/>
                <w:sz w:val="24"/>
                <w:szCs w:val="24"/>
                <w:lang w:val="en-US"/>
              </w:rPr>
              <w:t>-</w:t>
            </w:r>
            <w:r w:rsidRPr="00A318E8">
              <w:rPr>
                <w:rFonts w:ascii="Times New Roman" w:hAnsi="Times New Roman" w:cs="Times New Roman"/>
                <w:b/>
                <w:sz w:val="24"/>
                <w:szCs w:val="24"/>
              </w:rPr>
              <w:t>S) cm</w:t>
            </w:r>
            <w:r w:rsidRPr="00A318E8">
              <w:rPr>
                <w:rFonts w:ascii="Times New Roman" w:hAnsi="Times New Roman" w:cs="Times New Roman"/>
                <w:b/>
                <w:sz w:val="24"/>
                <w:szCs w:val="24"/>
                <w:vertAlign w:val="superscript"/>
              </w:rPr>
              <w:t>-1</w:t>
            </w:r>
          </w:p>
        </w:tc>
        <w:tc>
          <w:tcPr>
            <w:tcW w:w="993" w:type="dxa"/>
            <w:tcBorders>
              <w:top w:val="single" w:sz="4" w:space="0" w:color="auto"/>
              <w:left w:val="nil"/>
              <w:bottom w:val="single" w:sz="4" w:space="0" w:color="auto"/>
              <w:right w:val="nil"/>
            </w:tcBorders>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(M-S) cm</w:t>
            </w:r>
            <w:r w:rsidRPr="00A318E8">
              <w:rPr>
                <w:rFonts w:ascii="Times New Roman" w:hAnsi="Times New Roman" w:cs="Times New Roman"/>
                <w:b/>
                <w:sz w:val="24"/>
                <w:szCs w:val="24"/>
                <w:vertAlign w:val="superscript"/>
              </w:rPr>
              <w:t>-1</w:t>
            </w:r>
          </w:p>
        </w:tc>
        <w:tc>
          <w:tcPr>
            <w:tcW w:w="992" w:type="dxa"/>
            <w:tcBorders>
              <w:top w:val="single" w:sz="4" w:space="0" w:color="auto"/>
              <w:left w:val="nil"/>
              <w:bottom w:val="single" w:sz="4" w:space="0" w:color="auto"/>
              <w:right w:val="nil"/>
            </w:tcBorders>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(M-N) cm</w:t>
            </w:r>
            <w:r w:rsidRPr="00A318E8">
              <w:rPr>
                <w:rFonts w:ascii="Times New Roman" w:hAnsi="Times New Roman" w:cs="Times New Roman"/>
                <w:b/>
                <w:sz w:val="24"/>
                <w:szCs w:val="24"/>
                <w:vertAlign w:val="superscript"/>
              </w:rPr>
              <w:t>-1</w:t>
            </w:r>
          </w:p>
        </w:tc>
        <w:tc>
          <w:tcPr>
            <w:tcW w:w="1093" w:type="dxa"/>
            <w:tcBorders>
              <w:top w:val="single" w:sz="4" w:space="0" w:color="auto"/>
              <w:left w:val="nil"/>
              <w:bottom w:val="single" w:sz="4" w:space="0" w:color="auto"/>
              <w:right w:val="nil"/>
            </w:tcBorders>
          </w:tcPr>
          <w:p w:rsidR="00212C67" w:rsidRPr="00A318E8" w:rsidRDefault="00212C67" w:rsidP="00A04CEF">
            <w:pPr>
              <w:spacing w:after="0" w:line="480" w:lineRule="auto"/>
              <w:jc w:val="center"/>
              <w:rPr>
                <w:rFonts w:ascii="Times New Roman" w:hAnsi="Times New Roman" w:cs="Times New Roman"/>
                <w:b/>
                <w:sz w:val="24"/>
                <w:szCs w:val="24"/>
              </w:rPr>
            </w:pPr>
            <w:r w:rsidRPr="00A318E8">
              <w:rPr>
                <w:rFonts w:ascii="Times New Roman" w:hAnsi="Times New Roman" w:cs="Times New Roman"/>
                <w:b/>
                <w:sz w:val="24"/>
                <w:szCs w:val="24"/>
              </w:rPr>
              <w:t>ν (M-Cl) cm</w:t>
            </w:r>
            <w:r w:rsidRPr="00A318E8">
              <w:rPr>
                <w:rFonts w:ascii="Times New Roman" w:hAnsi="Times New Roman" w:cs="Times New Roman"/>
                <w:b/>
                <w:sz w:val="24"/>
                <w:szCs w:val="24"/>
                <w:vertAlign w:val="superscript"/>
              </w:rPr>
              <w:t>-1</w:t>
            </w:r>
          </w:p>
        </w:tc>
      </w:tr>
      <w:tr w:rsidR="00212C67" w:rsidRPr="00A318E8" w:rsidTr="005E1E23">
        <w:trPr>
          <w:trHeight w:val="708"/>
        </w:trPr>
        <w:tc>
          <w:tcPr>
            <w:tcW w:w="2126" w:type="dxa"/>
            <w:tcBorders>
              <w:top w:val="single" w:sz="4" w:space="0" w:color="auto"/>
              <w:left w:val="nil"/>
              <w:bottom w:val="nil"/>
              <w:right w:val="nil"/>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lang w:val="en-US"/>
              </w:rPr>
              <w:t xml:space="preserve">Thiosemicarbazone </w:t>
            </w:r>
          </w:p>
        </w:tc>
        <w:tc>
          <w:tcPr>
            <w:tcW w:w="1105"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w:t>
            </w:r>
          </w:p>
        </w:tc>
        <w:tc>
          <w:tcPr>
            <w:tcW w:w="1060"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1615</w:t>
            </w:r>
          </w:p>
        </w:tc>
        <w:tc>
          <w:tcPr>
            <w:tcW w:w="1095"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1253</w:t>
            </w:r>
          </w:p>
        </w:tc>
        <w:tc>
          <w:tcPr>
            <w:tcW w:w="992"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829</w:t>
            </w:r>
          </w:p>
        </w:tc>
        <w:tc>
          <w:tcPr>
            <w:tcW w:w="993"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w:t>
            </w:r>
          </w:p>
        </w:tc>
        <w:tc>
          <w:tcPr>
            <w:tcW w:w="992"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w:t>
            </w:r>
          </w:p>
        </w:tc>
        <w:tc>
          <w:tcPr>
            <w:tcW w:w="1093" w:type="dxa"/>
            <w:tcBorders>
              <w:top w:val="single" w:sz="4" w:space="0" w:color="auto"/>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w:t>
            </w:r>
          </w:p>
        </w:tc>
      </w:tr>
      <w:tr w:rsidR="00212C67" w:rsidRPr="00A318E8" w:rsidTr="005E1E23">
        <w:trPr>
          <w:trHeight w:val="696"/>
        </w:trPr>
        <w:tc>
          <w:tcPr>
            <w:tcW w:w="2126" w:type="dxa"/>
            <w:tcBorders>
              <w:top w:val="nil"/>
              <w:left w:val="nil"/>
              <w:bottom w:val="nil"/>
              <w:right w:val="nil"/>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105"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3332</w:t>
            </w:r>
          </w:p>
        </w:tc>
        <w:tc>
          <w:tcPr>
            <w:tcW w:w="1060"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1605</w:t>
            </w:r>
          </w:p>
        </w:tc>
        <w:tc>
          <w:tcPr>
            <w:tcW w:w="1095"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1227</w:t>
            </w:r>
          </w:p>
        </w:tc>
        <w:tc>
          <w:tcPr>
            <w:tcW w:w="992"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704</w:t>
            </w:r>
          </w:p>
        </w:tc>
        <w:tc>
          <w:tcPr>
            <w:tcW w:w="993"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566</w:t>
            </w:r>
          </w:p>
        </w:tc>
        <w:tc>
          <w:tcPr>
            <w:tcW w:w="992"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418</w:t>
            </w:r>
          </w:p>
        </w:tc>
        <w:tc>
          <w:tcPr>
            <w:tcW w:w="1093"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336</w:t>
            </w:r>
          </w:p>
        </w:tc>
      </w:tr>
      <w:tr w:rsidR="00212C67" w:rsidRPr="00A318E8" w:rsidTr="005E1E23">
        <w:trPr>
          <w:trHeight w:val="696"/>
        </w:trPr>
        <w:tc>
          <w:tcPr>
            <w:tcW w:w="2126" w:type="dxa"/>
            <w:tcBorders>
              <w:top w:val="nil"/>
              <w:left w:val="nil"/>
              <w:bottom w:val="nil"/>
              <w:right w:val="nil"/>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105"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3450</w:t>
            </w:r>
          </w:p>
        </w:tc>
        <w:tc>
          <w:tcPr>
            <w:tcW w:w="1060"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1603</w:t>
            </w:r>
          </w:p>
        </w:tc>
        <w:tc>
          <w:tcPr>
            <w:tcW w:w="1095"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1173</w:t>
            </w:r>
          </w:p>
        </w:tc>
        <w:tc>
          <w:tcPr>
            <w:tcW w:w="992"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700</w:t>
            </w:r>
          </w:p>
        </w:tc>
        <w:tc>
          <w:tcPr>
            <w:tcW w:w="993"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581</w:t>
            </w:r>
          </w:p>
        </w:tc>
        <w:tc>
          <w:tcPr>
            <w:tcW w:w="992"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418</w:t>
            </w:r>
          </w:p>
        </w:tc>
        <w:tc>
          <w:tcPr>
            <w:tcW w:w="1093" w:type="dxa"/>
            <w:tcBorders>
              <w:top w:val="nil"/>
              <w:left w:val="nil"/>
              <w:bottom w:val="nil"/>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343</w:t>
            </w:r>
          </w:p>
        </w:tc>
      </w:tr>
      <w:tr w:rsidR="00212C67" w:rsidRPr="00A318E8" w:rsidTr="005E1E23">
        <w:trPr>
          <w:trHeight w:val="696"/>
        </w:trPr>
        <w:tc>
          <w:tcPr>
            <w:tcW w:w="2126" w:type="dxa"/>
            <w:tcBorders>
              <w:top w:val="nil"/>
              <w:left w:val="nil"/>
              <w:bottom w:val="single" w:sz="4" w:space="0" w:color="auto"/>
              <w:right w:val="nil"/>
            </w:tcBorders>
            <w:shd w:val="clear" w:color="auto" w:fill="auto"/>
          </w:tcPr>
          <w:p w:rsidR="00212C67" w:rsidRPr="00A318E8" w:rsidRDefault="00212C67" w:rsidP="00212C67">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105"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3417</w:t>
            </w:r>
          </w:p>
        </w:tc>
        <w:tc>
          <w:tcPr>
            <w:tcW w:w="1060"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1588</w:t>
            </w:r>
          </w:p>
        </w:tc>
        <w:tc>
          <w:tcPr>
            <w:tcW w:w="1095"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1274</w:t>
            </w:r>
          </w:p>
        </w:tc>
        <w:tc>
          <w:tcPr>
            <w:tcW w:w="992"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720</w:t>
            </w:r>
          </w:p>
        </w:tc>
        <w:tc>
          <w:tcPr>
            <w:tcW w:w="993"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581</w:t>
            </w:r>
          </w:p>
        </w:tc>
        <w:tc>
          <w:tcPr>
            <w:tcW w:w="992"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406</w:t>
            </w:r>
          </w:p>
        </w:tc>
        <w:tc>
          <w:tcPr>
            <w:tcW w:w="1093" w:type="dxa"/>
            <w:tcBorders>
              <w:top w:val="nil"/>
              <w:left w:val="nil"/>
              <w:bottom w:val="single" w:sz="4" w:space="0" w:color="auto"/>
              <w:right w:val="nil"/>
            </w:tcBorders>
          </w:tcPr>
          <w:p w:rsidR="00212C67" w:rsidRPr="00A318E8" w:rsidRDefault="00212C67" w:rsidP="00212C67">
            <w:pPr>
              <w:spacing w:after="0"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351</w:t>
            </w:r>
          </w:p>
        </w:tc>
      </w:tr>
    </w:tbl>
    <w:p w:rsidR="005A3C7C" w:rsidRPr="00A318E8" w:rsidRDefault="00CA6D11">
      <w:pPr>
        <w:rPr>
          <w:rFonts w:ascii="Times New Roman" w:eastAsiaTheme="minorEastAsia" w:hAnsi="Times New Roman" w:cs="Times New Roman"/>
          <w:b/>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F702F4" w:rsidRPr="00A318E8" w:rsidRDefault="00F702F4">
      <w:pPr>
        <w:rPr>
          <w:rFonts w:ascii="Times New Roman" w:eastAsiaTheme="minorEastAsia" w:hAnsi="Times New Roman" w:cs="Times New Roman"/>
          <w:b/>
        </w:rPr>
      </w:pPr>
    </w:p>
    <w:p w:rsidR="005E1E23" w:rsidRPr="00A318E8" w:rsidRDefault="005E1E23">
      <w:pPr>
        <w:rPr>
          <w:rFonts w:ascii="Times New Roman" w:eastAsiaTheme="minorEastAsia" w:hAnsi="Times New Roman" w:cs="Times New Roman"/>
          <w:b/>
        </w:rPr>
      </w:pPr>
    </w:p>
    <w:p w:rsidR="005E1E23" w:rsidRPr="00A318E8" w:rsidRDefault="005E1E23">
      <w:pPr>
        <w:rPr>
          <w:rFonts w:ascii="Times New Roman" w:eastAsiaTheme="minorEastAsia" w:hAnsi="Times New Roman" w:cs="Times New Roman"/>
          <w:b/>
        </w:rPr>
      </w:pPr>
    </w:p>
    <w:p w:rsidR="00F702F4" w:rsidRPr="00A318E8" w:rsidRDefault="00F702F4">
      <w:pPr>
        <w:rPr>
          <w:rFonts w:ascii="Times New Roman" w:eastAsiaTheme="minorEastAsia" w:hAnsi="Times New Roman" w:cs="Times New Roman"/>
          <w:b/>
        </w:rPr>
      </w:pPr>
    </w:p>
    <w:p w:rsidR="00BD7CA4" w:rsidRPr="00A318E8" w:rsidRDefault="00695E5F">
      <w:pPr>
        <w:rPr>
          <w:rFonts w:ascii="Times New Roman" w:eastAsiaTheme="minorEastAsia" w:hAnsi="Times New Roman" w:cs="Times New Roman"/>
          <w:b/>
        </w:rPr>
      </w:pPr>
      <w:r w:rsidRPr="00A318E8">
        <w:rPr>
          <w:rFonts w:ascii="Times New Roman" w:eastAsiaTheme="minorEastAsia" w:hAnsi="Times New Roman" w:cs="Times New Roman"/>
          <w:b/>
        </w:rPr>
        <w:lastRenderedPageBreak/>
        <w:t>Table</w:t>
      </w:r>
      <w:r w:rsidR="00F702F4" w:rsidRPr="00A318E8">
        <w:rPr>
          <w:rFonts w:ascii="Times New Roman" w:eastAsiaTheme="minorEastAsia" w:hAnsi="Times New Roman" w:cs="Times New Roman"/>
          <w:b/>
        </w:rPr>
        <w:t xml:space="preserve"> </w:t>
      </w:r>
      <w:r w:rsidRPr="00A318E8">
        <w:rPr>
          <w:rFonts w:ascii="Times New Roman" w:eastAsiaTheme="minorEastAsia" w:hAnsi="Times New Roman" w:cs="Times New Roman"/>
          <w:b/>
        </w:rPr>
        <w:t xml:space="preserve">6: UV-Visible Spectral data of Thiosemicarbazone and its Complexes </w:t>
      </w:r>
    </w:p>
    <w:tbl>
      <w:tblPr>
        <w:tblW w:w="9973" w:type="dxa"/>
        <w:tblInd w:w="-635" w:type="dxa"/>
        <w:tblLayout w:type="fixed"/>
        <w:tblLook w:val="04A0" w:firstRow="1" w:lastRow="0" w:firstColumn="1" w:lastColumn="0" w:noHBand="0" w:noVBand="1"/>
      </w:tblPr>
      <w:tblGrid>
        <w:gridCol w:w="2620"/>
        <w:gridCol w:w="1134"/>
        <w:gridCol w:w="567"/>
        <w:gridCol w:w="1276"/>
        <w:gridCol w:w="567"/>
        <w:gridCol w:w="1275"/>
        <w:gridCol w:w="660"/>
        <w:gridCol w:w="1275"/>
        <w:gridCol w:w="599"/>
      </w:tblGrid>
      <w:tr w:rsidR="00CA6D11" w:rsidRPr="00A318E8" w:rsidTr="005E1E23">
        <w:trPr>
          <w:trHeight w:val="1791"/>
        </w:trPr>
        <w:tc>
          <w:tcPr>
            <w:tcW w:w="2620" w:type="dxa"/>
            <w:tcBorders>
              <w:top w:val="single" w:sz="4" w:space="0" w:color="auto"/>
              <w:left w:val="nil"/>
              <w:bottom w:val="single" w:sz="4" w:space="0" w:color="auto"/>
              <w:right w:val="nil"/>
            </w:tcBorders>
          </w:tcPr>
          <w:p w:rsidR="00CA6D11" w:rsidRPr="00A318E8" w:rsidRDefault="00CA6D11" w:rsidP="00A04CEF">
            <w:pPr>
              <w:spacing w:line="480" w:lineRule="auto"/>
              <w:jc w:val="both"/>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Compounds</w:t>
            </w:r>
          </w:p>
        </w:tc>
        <w:tc>
          <w:tcPr>
            <w:tcW w:w="1134" w:type="dxa"/>
            <w:tcBorders>
              <w:top w:val="single" w:sz="4" w:space="0" w:color="auto"/>
              <w:left w:val="nil"/>
              <w:bottom w:val="single" w:sz="4" w:space="0" w:color="auto"/>
              <w:right w:val="nil"/>
            </w:tcBorders>
          </w:tcPr>
          <w:p w:rsidR="00CA6D11" w:rsidRPr="00A318E8" w:rsidRDefault="00CA6D11" w:rsidP="00A04CEF">
            <w:pPr>
              <w:spacing w:line="480" w:lineRule="auto"/>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π→π*(nm) C=S</w:t>
            </w:r>
          </w:p>
        </w:tc>
        <w:tc>
          <w:tcPr>
            <w:tcW w:w="567" w:type="dxa"/>
            <w:tcBorders>
              <w:top w:val="single" w:sz="4" w:space="0" w:color="auto"/>
              <w:left w:val="nil"/>
              <w:bottom w:val="single" w:sz="4" w:space="0" w:color="auto"/>
              <w:right w:val="nil"/>
            </w:tcBorders>
            <w:textDirection w:val="btLr"/>
          </w:tcPr>
          <w:p w:rsidR="00CA6D11" w:rsidRPr="00A318E8" w:rsidRDefault="00CA6D11" w:rsidP="00A04CEF">
            <w:pPr>
              <w:spacing w:line="480" w:lineRule="auto"/>
              <w:ind w:left="113" w:right="113"/>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Absorbance</w:t>
            </w:r>
          </w:p>
        </w:tc>
        <w:tc>
          <w:tcPr>
            <w:tcW w:w="1276" w:type="dxa"/>
            <w:tcBorders>
              <w:top w:val="single" w:sz="4" w:space="0" w:color="auto"/>
              <w:left w:val="nil"/>
              <w:bottom w:val="single" w:sz="4" w:space="0" w:color="auto"/>
              <w:right w:val="nil"/>
            </w:tcBorders>
            <w:shd w:val="clear" w:color="auto" w:fill="auto"/>
          </w:tcPr>
          <w:p w:rsidR="00CA6D11" w:rsidRPr="00A318E8" w:rsidRDefault="00CA6D11" w:rsidP="00A04CEF">
            <w:pPr>
              <w:spacing w:line="480" w:lineRule="auto"/>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π→π* (nm) C=N</w:t>
            </w:r>
          </w:p>
        </w:tc>
        <w:tc>
          <w:tcPr>
            <w:tcW w:w="567" w:type="dxa"/>
            <w:tcBorders>
              <w:top w:val="single" w:sz="4" w:space="0" w:color="auto"/>
              <w:left w:val="nil"/>
              <w:bottom w:val="single" w:sz="4" w:space="0" w:color="auto"/>
              <w:right w:val="nil"/>
            </w:tcBorders>
            <w:textDirection w:val="btLr"/>
          </w:tcPr>
          <w:p w:rsidR="00CA6D11" w:rsidRPr="00A318E8" w:rsidRDefault="00CA6D11" w:rsidP="00A04CEF">
            <w:pPr>
              <w:spacing w:line="480" w:lineRule="auto"/>
              <w:ind w:left="113" w:right="113"/>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Absorbance</w:t>
            </w:r>
          </w:p>
        </w:tc>
        <w:tc>
          <w:tcPr>
            <w:tcW w:w="1275" w:type="dxa"/>
            <w:tcBorders>
              <w:top w:val="single" w:sz="4" w:space="0" w:color="auto"/>
              <w:left w:val="nil"/>
              <w:bottom w:val="single" w:sz="4" w:space="0" w:color="auto"/>
              <w:right w:val="nil"/>
            </w:tcBorders>
            <w:shd w:val="clear" w:color="auto" w:fill="auto"/>
          </w:tcPr>
          <w:p w:rsidR="00CA6D11" w:rsidRPr="00A318E8" w:rsidRDefault="00CA6D11" w:rsidP="00A04CEF">
            <w:pPr>
              <w:spacing w:line="480" w:lineRule="auto"/>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n→π (nm) C=S</w:t>
            </w:r>
          </w:p>
        </w:tc>
        <w:tc>
          <w:tcPr>
            <w:tcW w:w="660" w:type="dxa"/>
            <w:tcBorders>
              <w:top w:val="single" w:sz="4" w:space="0" w:color="auto"/>
              <w:left w:val="nil"/>
              <w:bottom w:val="single" w:sz="4" w:space="0" w:color="auto"/>
              <w:right w:val="nil"/>
            </w:tcBorders>
            <w:textDirection w:val="btLr"/>
          </w:tcPr>
          <w:p w:rsidR="00CA6D11" w:rsidRPr="00A318E8" w:rsidRDefault="00CA6D11" w:rsidP="00A04CEF">
            <w:pPr>
              <w:spacing w:line="480" w:lineRule="auto"/>
              <w:ind w:left="113" w:right="113"/>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Absorbance</w:t>
            </w:r>
          </w:p>
        </w:tc>
        <w:tc>
          <w:tcPr>
            <w:tcW w:w="1275" w:type="dxa"/>
            <w:tcBorders>
              <w:top w:val="single" w:sz="4" w:space="0" w:color="auto"/>
              <w:left w:val="nil"/>
              <w:bottom w:val="single" w:sz="4" w:space="0" w:color="auto"/>
              <w:right w:val="nil"/>
            </w:tcBorders>
            <w:shd w:val="clear" w:color="auto" w:fill="auto"/>
          </w:tcPr>
          <w:p w:rsidR="00CA6D11" w:rsidRPr="00A318E8" w:rsidRDefault="00CA6D11" w:rsidP="00A04CEF">
            <w:pPr>
              <w:spacing w:line="480" w:lineRule="auto"/>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n→π (nm) C=N</w:t>
            </w:r>
          </w:p>
        </w:tc>
        <w:tc>
          <w:tcPr>
            <w:tcW w:w="599" w:type="dxa"/>
            <w:tcBorders>
              <w:top w:val="single" w:sz="4" w:space="0" w:color="auto"/>
              <w:left w:val="nil"/>
              <w:bottom w:val="single" w:sz="4" w:space="0" w:color="auto"/>
              <w:right w:val="nil"/>
            </w:tcBorders>
            <w:shd w:val="clear" w:color="auto" w:fill="auto"/>
            <w:textDirection w:val="btLr"/>
          </w:tcPr>
          <w:p w:rsidR="00CA6D11" w:rsidRPr="00A318E8" w:rsidRDefault="00CA6D11" w:rsidP="00A04CEF">
            <w:pPr>
              <w:spacing w:line="480" w:lineRule="auto"/>
              <w:ind w:left="113" w:right="113"/>
              <w:jc w:val="center"/>
              <w:rPr>
                <w:rFonts w:ascii="Times New Roman" w:hAnsi="Times New Roman" w:cs="Times New Roman"/>
                <w:b/>
                <w:bCs/>
                <w:sz w:val="24"/>
                <w:szCs w:val="24"/>
                <w:lang w:val="en-US"/>
              </w:rPr>
            </w:pPr>
            <w:r w:rsidRPr="00A318E8">
              <w:rPr>
                <w:rFonts w:ascii="Times New Roman" w:hAnsi="Times New Roman" w:cs="Times New Roman"/>
                <w:b/>
                <w:bCs/>
                <w:sz w:val="24"/>
                <w:szCs w:val="24"/>
                <w:lang w:val="en-US"/>
              </w:rPr>
              <w:t>Absorbance</w:t>
            </w:r>
          </w:p>
        </w:tc>
      </w:tr>
      <w:tr w:rsidR="00CA6D11" w:rsidRPr="00A318E8" w:rsidTr="005E1E23">
        <w:tc>
          <w:tcPr>
            <w:tcW w:w="2620" w:type="dxa"/>
            <w:tcBorders>
              <w:top w:val="single" w:sz="4" w:space="0" w:color="auto"/>
              <w:left w:val="nil"/>
              <w:bottom w:val="nil"/>
              <w:right w:val="nil"/>
            </w:tcBorders>
            <w:shd w:val="clear" w:color="auto" w:fill="auto"/>
          </w:tcPr>
          <w:p w:rsidR="00CA6D11" w:rsidRPr="00A318E8" w:rsidRDefault="00CA6D11" w:rsidP="00CA6D11">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lang w:val="en-US"/>
              </w:rPr>
              <w:t>Thiosemicarbazone (L</w:t>
            </w:r>
            <w:r w:rsidRPr="00A318E8">
              <w:rPr>
                <w:rFonts w:ascii="Times New Roman" w:hAnsi="Times New Roman" w:cs="Times New Roman"/>
                <w:sz w:val="24"/>
                <w:szCs w:val="24"/>
                <w:vertAlign w:val="superscript"/>
                <w:lang w:val="en-US"/>
              </w:rPr>
              <w:t>IV</w:t>
            </w:r>
            <w:r w:rsidRPr="00A318E8">
              <w:rPr>
                <w:rFonts w:ascii="Times New Roman" w:hAnsi="Times New Roman" w:cs="Times New Roman"/>
                <w:sz w:val="24"/>
                <w:szCs w:val="24"/>
                <w:lang w:val="en-US"/>
              </w:rPr>
              <w:t>)</w:t>
            </w:r>
          </w:p>
        </w:tc>
        <w:tc>
          <w:tcPr>
            <w:tcW w:w="1134"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242</w:t>
            </w:r>
          </w:p>
        </w:tc>
        <w:tc>
          <w:tcPr>
            <w:tcW w:w="567"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3.9</w:t>
            </w:r>
          </w:p>
        </w:tc>
        <w:tc>
          <w:tcPr>
            <w:tcW w:w="1276"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250</w:t>
            </w:r>
          </w:p>
        </w:tc>
        <w:tc>
          <w:tcPr>
            <w:tcW w:w="567"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4.0</w:t>
            </w:r>
          </w:p>
        </w:tc>
        <w:tc>
          <w:tcPr>
            <w:tcW w:w="1275"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329</w:t>
            </w:r>
          </w:p>
        </w:tc>
        <w:tc>
          <w:tcPr>
            <w:tcW w:w="660"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10</w:t>
            </w:r>
          </w:p>
        </w:tc>
        <w:tc>
          <w:tcPr>
            <w:tcW w:w="1275"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349</w:t>
            </w:r>
          </w:p>
        </w:tc>
        <w:tc>
          <w:tcPr>
            <w:tcW w:w="599" w:type="dxa"/>
            <w:tcBorders>
              <w:top w:val="single" w:sz="4" w:space="0" w:color="auto"/>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w:t>
            </w:r>
          </w:p>
        </w:tc>
      </w:tr>
      <w:tr w:rsidR="00CA6D11" w:rsidRPr="00A318E8" w:rsidTr="005E1E23">
        <w:tc>
          <w:tcPr>
            <w:tcW w:w="2620" w:type="dxa"/>
            <w:tcBorders>
              <w:top w:val="nil"/>
              <w:left w:val="nil"/>
              <w:bottom w:val="nil"/>
              <w:right w:val="nil"/>
            </w:tcBorders>
            <w:shd w:val="clear" w:color="auto" w:fill="auto"/>
          </w:tcPr>
          <w:p w:rsidR="00CA6D11" w:rsidRPr="00A318E8" w:rsidRDefault="00CA6D11" w:rsidP="00CA6D11">
            <w:pPr>
              <w:spacing w:after="0" w:line="48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134"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234</w:t>
            </w:r>
          </w:p>
        </w:tc>
        <w:tc>
          <w:tcPr>
            <w:tcW w:w="567"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0.4</w:t>
            </w:r>
          </w:p>
        </w:tc>
        <w:tc>
          <w:tcPr>
            <w:tcW w:w="1276"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262</w:t>
            </w:r>
          </w:p>
        </w:tc>
        <w:tc>
          <w:tcPr>
            <w:tcW w:w="567"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w:t>
            </w:r>
          </w:p>
        </w:tc>
        <w:tc>
          <w:tcPr>
            <w:tcW w:w="1275"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338</w:t>
            </w:r>
          </w:p>
        </w:tc>
        <w:tc>
          <w:tcPr>
            <w:tcW w:w="660"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2.3</w:t>
            </w:r>
          </w:p>
        </w:tc>
        <w:tc>
          <w:tcPr>
            <w:tcW w:w="1275"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353</w:t>
            </w:r>
          </w:p>
        </w:tc>
        <w:tc>
          <w:tcPr>
            <w:tcW w:w="599"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2.4</w:t>
            </w:r>
          </w:p>
        </w:tc>
      </w:tr>
      <w:tr w:rsidR="00CA6D11" w:rsidRPr="00A318E8" w:rsidTr="005E1E23">
        <w:tc>
          <w:tcPr>
            <w:tcW w:w="2620" w:type="dxa"/>
            <w:tcBorders>
              <w:top w:val="nil"/>
              <w:left w:val="nil"/>
              <w:bottom w:val="nil"/>
              <w:right w:val="nil"/>
            </w:tcBorders>
            <w:shd w:val="clear" w:color="auto" w:fill="auto"/>
          </w:tcPr>
          <w:p w:rsidR="00CA6D11" w:rsidRPr="00A318E8" w:rsidRDefault="00CA6D11" w:rsidP="00CA6D11">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134"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239</w:t>
            </w:r>
          </w:p>
        </w:tc>
        <w:tc>
          <w:tcPr>
            <w:tcW w:w="567"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0.5</w:t>
            </w:r>
          </w:p>
        </w:tc>
        <w:tc>
          <w:tcPr>
            <w:tcW w:w="1276"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262</w:t>
            </w:r>
          </w:p>
        </w:tc>
        <w:tc>
          <w:tcPr>
            <w:tcW w:w="567"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3.5</w:t>
            </w:r>
          </w:p>
        </w:tc>
        <w:tc>
          <w:tcPr>
            <w:tcW w:w="1275"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339</w:t>
            </w:r>
          </w:p>
        </w:tc>
        <w:tc>
          <w:tcPr>
            <w:tcW w:w="660"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2.4</w:t>
            </w:r>
          </w:p>
        </w:tc>
        <w:tc>
          <w:tcPr>
            <w:tcW w:w="1275"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356</w:t>
            </w:r>
          </w:p>
        </w:tc>
        <w:tc>
          <w:tcPr>
            <w:tcW w:w="599" w:type="dxa"/>
            <w:tcBorders>
              <w:top w:val="nil"/>
              <w:left w:val="nil"/>
              <w:bottom w:val="nil"/>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2.5</w:t>
            </w:r>
          </w:p>
        </w:tc>
      </w:tr>
      <w:tr w:rsidR="00CA6D11" w:rsidRPr="00A318E8" w:rsidTr="005E1E23">
        <w:tc>
          <w:tcPr>
            <w:tcW w:w="2620" w:type="dxa"/>
            <w:tcBorders>
              <w:top w:val="nil"/>
              <w:left w:val="nil"/>
              <w:bottom w:val="single" w:sz="4" w:space="0" w:color="auto"/>
              <w:right w:val="nil"/>
            </w:tcBorders>
            <w:shd w:val="clear" w:color="auto" w:fill="auto"/>
          </w:tcPr>
          <w:p w:rsidR="00CA6D11" w:rsidRPr="00A318E8" w:rsidRDefault="00CA6D11" w:rsidP="00CA6D11">
            <w:pPr>
              <w:spacing w:after="0" w:line="48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134"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248</w:t>
            </w:r>
          </w:p>
        </w:tc>
        <w:tc>
          <w:tcPr>
            <w:tcW w:w="567"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2.7</w:t>
            </w:r>
          </w:p>
        </w:tc>
        <w:tc>
          <w:tcPr>
            <w:tcW w:w="1276"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263</w:t>
            </w:r>
          </w:p>
        </w:tc>
        <w:tc>
          <w:tcPr>
            <w:tcW w:w="567"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3.6</w:t>
            </w:r>
          </w:p>
        </w:tc>
        <w:tc>
          <w:tcPr>
            <w:tcW w:w="1275"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338</w:t>
            </w:r>
          </w:p>
        </w:tc>
        <w:tc>
          <w:tcPr>
            <w:tcW w:w="660"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6.1</w:t>
            </w:r>
          </w:p>
        </w:tc>
        <w:tc>
          <w:tcPr>
            <w:tcW w:w="1275"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348</w:t>
            </w:r>
          </w:p>
        </w:tc>
        <w:tc>
          <w:tcPr>
            <w:tcW w:w="599" w:type="dxa"/>
            <w:tcBorders>
              <w:top w:val="nil"/>
              <w:left w:val="nil"/>
              <w:bottom w:val="single" w:sz="4" w:space="0" w:color="auto"/>
              <w:right w:val="nil"/>
            </w:tcBorders>
          </w:tcPr>
          <w:p w:rsidR="00CA6D11" w:rsidRPr="00A318E8" w:rsidRDefault="00CA6D11" w:rsidP="00CA6D11">
            <w:pPr>
              <w:spacing w:line="48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6.7</w:t>
            </w:r>
          </w:p>
        </w:tc>
      </w:tr>
    </w:tbl>
    <w:p w:rsidR="00CA6D11" w:rsidRPr="00A318E8" w:rsidRDefault="00CA6D11" w:rsidP="00CA6D11">
      <w:pPr>
        <w:rPr>
          <w:rFonts w:ascii="Times New Roman" w:eastAsiaTheme="minorEastAsia" w:hAnsi="Times New Roman" w:cs="Times New Roman"/>
          <w:b/>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A56F04" w:rsidRDefault="00A56F04" w:rsidP="00CA6D11">
      <w:pPr>
        <w:spacing w:line="480" w:lineRule="auto"/>
        <w:jc w:val="both"/>
        <w:rPr>
          <w:rFonts w:ascii="Times New Roman" w:eastAsiaTheme="minorEastAsia" w:hAnsi="Times New Roman" w:cs="Times New Roman"/>
          <w:sz w:val="24"/>
          <w:szCs w:val="24"/>
        </w:rPr>
      </w:pPr>
    </w:p>
    <w:p w:rsidR="00CA6D11" w:rsidRPr="00A318E8" w:rsidRDefault="00CA6D11" w:rsidP="00CA6D11">
      <w:pPr>
        <w:spacing w:line="480" w:lineRule="auto"/>
        <w:jc w:val="both"/>
        <w:rPr>
          <w:rFonts w:ascii="Times New Roman" w:hAnsi="Times New Roman" w:cs="Times New Roman"/>
          <w:b/>
          <w:sz w:val="24"/>
          <w:szCs w:val="24"/>
        </w:rPr>
      </w:pPr>
      <w:r w:rsidRPr="00A318E8">
        <w:rPr>
          <w:rFonts w:ascii="Times New Roman" w:hAnsi="Times New Roman" w:cs="Times New Roman"/>
          <w:b/>
          <w:sz w:val="24"/>
          <w:szCs w:val="24"/>
        </w:rPr>
        <w:t>Table</w:t>
      </w:r>
      <w:r w:rsidR="00FB5AAE" w:rsidRPr="00A318E8">
        <w:rPr>
          <w:rFonts w:ascii="Times New Roman" w:hAnsi="Times New Roman" w:cs="Times New Roman"/>
          <w:b/>
          <w:sz w:val="24"/>
          <w:szCs w:val="24"/>
        </w:rPr>
        <w:t xml:space="preserve"> 7</w:t>
      </w:r>
      <w:r w:rsidRPr="00A318E8">
        <w:rPr>
          <w:rFonts w:ascii="Times New Roman" w:hAnsi="Times New Roman" w:cs="Times New Roman"/>
          <w:b/>
          <w:sz w:val="24"/>
          <w:szCs w:val="24"/>
        </w:rPr>
        <w:t xml:space="preserve">: Elemental Analysis data of the </w:t>
      </w:r>
      <w:r w:rsidRPr="00A318E8">
        <w:rPr>
          <w:rFonts w:ascii="Times New Roman" w:hAnsi="Times New Roman" w:cs="Times New Roman"/>
          <w:b/>
          <w:sz w:val="24"/>
          <w:szCs w:val="24"/>
          <w:lang w:val="en-US"/>
        </w:rPr>
        <w:t xml:space="preserve">thiosemicarbazone (L) </w:t>
      </w:r>
      <w:r w:rsidRPr="00A318E8">
        <w:rPr>
          <w:rFonts w:ascii="Times New Roman" w:hAnsi="Times New Roman" w:cs="Times New Roman"/>
          <w:b/>
          <w:sz w:val="24"/>
          <w:szCs w:val="24"/>
        </w:rPr>
        <w:t xml:space="preserve">and its metal complexes  </w:t>
      </w:r>
    </w:p>
    <w:tbl>
      <w:tblPr>
        <w:tblW w:w="9305" w:type="dxa"/>
        <w:tblBorders>
          <w:top w:val="single" w:sz="4" w:space="0" w:color="auto"/>
          <w:bottom w:val="single" w:sz="4" w:space="0" w:color="auto"/>
        </w:tblBorders>
        <w:tblLayout w:type="fixed"/>
        <w:tblLook w:val="04A0" w:firstRow="1" w:lastRow="0" w:firstColumn="1" w:lastColumn="0" w:noHBand="0" w:noVBand="1"/>
      </w:tblPr>
      <w:tblGrid>
        <w:gridCol w:w="1851"/>
        <w:gridCol w:w="1745"/>
        <w:gridCol w:w="2479"/>
        <w:gridCol w:w="1615"/>
        <w:gridCol w:w="1615"/>
      </w:tblGrid>
      <w:tr w:rsidR="00CA6D11" w:rsidRPr="00A318E8" w:rsidTr="005E1E23">
        <w:trPr>
          <w:trHeight w:val="1871"/>
        </w:trPr>
        <w:tc>
          <w:tcPr>
            <w:tcW w:w="1851" w:type="dxa"/>
            <w:tcBorders>
              <w:top w:val="single" w:sz="4" w:space="0" w:color="auto"/>
              <w:bottom w:val="single" w:sz="4" w:space="0" w:color="auto"/>
            </w:tcBorders>
          </w:tcPr>
          <w:p w:rsidR="00CA6D11" w:rsidRPr="00A318E8" w:rsidRDefault="00CA6D11" w:rsidP="005E1E23">
            <w:pPr>
              <w:spacing w:after="0" w:line="240" w:lineRule="auto"/>
              <w:jc w:val="both"/>
              <w:rPr>
                <w:rFonts w:ascii="Times New Roman" w:hAnsi="Times New Roman" w:cs="Times New Roman"/>
                <w:b/>
                <w:bCs/>
                <w:sz w:val="24"/>
                <w:szCs w:val="24"/>
              </w:rPr>
            </w:pPr>
          </w:p>
          <w:p w:rsidR="00CA6D11" w:rsidRPr="00A318E8" w:rsidRDefault="00CA6D11" w:rsidP="005E1E23">
            <w:pPr>
              <w:spacing w:after="0" w:line="240" w:lineRule="auto"/>
              <w:jc w:val="both"/>
              <w:rPr>
                <w:rFonts w:ascii="Times New Roman" w:hAnsi="Times New Roman" w:cs="Times New Roman"/>
                <w:b/>
                <w:bCs/>
                <w:sz w:val="24"/>
                <w:szCs w:val="24"/>
              </w:rPr>
            </w:pPr>
          </w:p>
          <w:p w:rsidR="00CA6D11" w:rsidRPr="00A318E8" w:rsidRDefault="00CA6D11" w:rsidP="005E1E23">
            <w:pPr>
              <w:spacing w:after="0" w:line="240" w:lineRule="auto"/>
              <w:jc w:val="both"/>
              <w:rPr>
                <w:rFonts w:ascii="Times New Roman" w:hAnsi="Times New Roman" w:cs="Times New Roman"/>
                <w:b/>
                <w:bCs/>
                <w:sz w:val="24"/>
                <w:szCs w:val="24"/>
              </w:rPr>
            </w:pPr>
          </w:p>
          <w:p w:rsidR="00CA6D11" w:rsidRPr="00A318E8" w:rsidRDefault="00CA6D11" w:rsidP="005E1E23">
            <w:pPr>
              <w:spacing w:after="0" w:line="240" w:lineRule="auto"/>
              <w:jc w:val="both"/>
              <w:rPr>
                <w:rFonts w:ascii="Times New Roman" w:hAnsi="Times New Roman" w:cs="Times New Roman"/>
                <w:b/>
                <w:bCs/>
                <w:sz w:val="24"/>
                <w:szCs w:val="24"/>
              </w:rPr>
            </w:pPr>
          </w:p>
          <w:p w:rsidR="00CA6D11" w:rsidRPr="00A318E8" w:rsidRDefault="00CA6D11" w:rsidP="005E1E23">
            <w:pPr>
              <w:spacing w:after="0" w:line="240" w:lineRule="auto"/>
              <w:jc w:val="both"/>
              <w:rPr>
                <w:rFonts w:ascii="Times New Roman" w:hAnsi="Times New Roman" w:cs="Times New Roman"/>
                <w:b/>
                <w:bCs/>
                <w:sz w:val="24"/>
                <w:szCs w:val="24"/>
              </w:rPr>
            </w:pPr>
          </w:p>
          <w:p w:rsidR="00CA6D11" w:rsidRPr="00A318E8" w:rsidRDefault="00CA6D11" w:rsidP="005E1E23">
            <w:pPr>
              <w:spacing w:after="0" w:line="240" w:lineRule="auto"/>
              <w:jc w:val="both"/>
              <w:rPr>
                <w:rFonts w:ascii="Times New Roman" w:hAnsi="Times New Roman" w:cs="Times New Roman"/>
                <w:b/>
                <w:bCs/>
                <w:sz w:val="24"/>
                <w:szCs w:val="24"/>
              </w:rPr>
            </w:pPr>
            <w:r w:rsidRPr="00A318E8">
              <w:rPr>
                <w:rFonts w:ascii="Times New Roman" w:hAnsi="Times New Roman" w:cs="Times New Roman"/>
                <w:b/>
                <w:bCs/>
                <w:sz w:val="24"/>
                <w:szCs w:val="24"/>
              </w:rPr>
              <w:t>Compounds</w:t>
            </w:r>
          </w:p>
        </w:tc>
        <w:tc>
          <w:tcPr>
            <w:tcW w:w="1745" w:type="dxa"/>
            <w:tcBorders>
              <w:top w:val="single" w:sz="4" w:space="0" w:color="auto"/>
              <w:bottom w:val="single" w:sz="4" w:space="0" w:color="auto"/>
            </w:tcBorders>
          </w:tcPr>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r w:rsidRPr="00A318E8">
              <w:rPr>
                <w:rFonts w:ascii="Times New Roman" w:hAnsi="Times New Roman" w:cs="Times New Roman"/>
                <w:b/>
                <w:bCs/>
                <w:sz w:val="24"/>
                <w:szCs w:val="24"/>
              </w:rPr>
              <w:t>%C</w:t>
            </w:r>
          </w:p>
        </w:tc>
        <w:tc>
          <w:tcPr>
            <w:tcW w:w="2479" w:type="dxa"/>
            <w:tcBorders>
              <w:top w:val="single" w:sz="4" w:space="0" w:color="auto"/>
              <w:bottom w:val="single" w:sz="4" w:space="0" w:color="auto"/>
            </w:tcBorders>
          </w:tcPr>
          <w:p w:rsidR="00CA6D11" w:rsidRPr="00A318E8" w:rsidRDefault="00CA6D11" w:rsidP="005E1E23">
            <w:pPr>
              <w:spacing w:after="0" w:line="240" w:lineRule="auto"/>
              <w:jc w:val="center"/>
              <w:rPr>
                <w:rFonts w:ascii="Times New Roman" w:hAnsi="Times New Roman" w:cs="Times New Roman"/>
                <w:b/>
                <w:bCs/>
                <w:sz w:val="24"/>
                <w:szCs w:val="24"/>
              </w:rPr>
            </w:pPr>
            <w:r w:rsidRPr="00A318E8">
              <w:rPr>
                <w:rFonts w:ascii="Times New Roman" w:hAnsi="Times New Roman" w:cs="Times New Roman"/>
                <w:b/>
                <w:bCs/>
                <w:sz w:val="24"/>
                <w:szCs w:val="24"/>
              </w:rPr>
              <w:t>Elemental Analyses</w:t>
            </w:r>
          </w:p>
          <w:p w:rsidR="00CA6D11" w:rsidRPr="00A318E8" w:rsidRDefault="00CA6D11" w:rsidP="005E1E23">
            <w:pPr>
              <w:spacing w:after="0" w:line="240" w:lineRule="auto"/>
              <w:jc w:val="center"/>
              <w:rPr>
                <w:rFonts w:ascii="Times New Roman" w:hAnsi="Times New Roman" w:cs="Times New Roman"/>
                <w:b/>
                <w:bCs/>
                <w:sz w:val="24"/>
                <w:szCs w:val="24"/>
              </w:rPr>
            </w:pPr>
            <w:r w:rsidRPr="00A318E8">
              <w:rPr>
                <w:rFonts w:ascii="Times New Roman" w:hAnsi="Times New Roman" w:cs="Times New Roman"/>
                <w:b/>
                <w:bCs/>
                <w:sz w:val="24"/>
                <w:szCs w:val="24"/>
              </w:rPr>
              <w:t>Calculated (observed)</w:t>
            </w: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r w:rsidRPr="00A318E8">
              <w:rPr>
                <w:rFonts w:ascii="Times New Roman" w:hAnsi="Times New Roman" w:cs="Times New Roman"/>
                <w:b/>
                <w:bCs/>
                <w:sz w:val="24"/>
                <w:szCs w:val="24"/>
              </w:rPr>
              <w:t>%H</w:t>
            </w:r>
          </w:p>
        </w:tc>
        <w:tc>
          <w:tcPr>
            <w:tcW w:w="1615" w:type="dxa"/>
            <w:tcBorders>
              <w:top w:val="single" w:sz="4" w:space="0" w:color="auto"/>
              <w:bottom w:val="single" w:sz="4" w:space="0" w:color="auto"/>
            </w:tcBorders>
          </w:tcPr>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r w:rsidRPr="00A318E8">
              <w:rPr>
                <w:rFonts w:ascii="Times New Roman" w:hAnsi="Times New Roman" w:cs="Times New Roman"/>
                <w:b/>
                <w:bCs/>
                <w:sz w:val="24"/>
                <w:szCs w:val="24"/>
              </w:rPr>
              <w:t>%N</w:t>
            </w:r>
          </w:p>
        </w:tc>
        <w:tc>
          <w:tcPr>
            <w:tcW w:w="1615" w:type="dxa"/>
            <w:tcBorders>
              <w:top w:val="single" w:sz="4" w:space="0" w:color="auto"/>
              <w:bottom w:val="single" w:sz="4" w:space="0" w:color="auto"/>
            </w:tcBorders>
          </w:tcPr>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p>
          <w:p w:rsidR="00CA6D11" w:rsidRPr="00A318E8" w:rsidRDefault="00CA6D11" w:rsidP="005E1E23">
            <w:pPr>
              <w:spacing w:after="0" w:line="240" w:lineRule="auto"/>
              <w:jc w:val="center"/>
              <w:rPr>
                <w:rFonts w:ascii="Times New Roman" w:hAnsi="Times New Roman" w:cs="Times New Roman"/>
                <w:b/>
                <w:bCs/>
                <w:sz w:val="24"/>
                <w:szCs w:val="24"/>
              </w:rPr>
            </w:pPr>
            <w:r w:rsidRPr="00A318E8">
              <w:rPr>
                <w:rFonts w:ascii="Times New Roman" w:hAnsi="Times New Roman" w:cs="Times New Roman"/>
                <w:b/>
                <w:bCs/>
                <w:sz w:val="24"/>
                <w:szCs w:val="24"/>
              </w:rPr>
              <w:t>%S</w:t>
            </w:r>
          </w:p>
        </w:tc>
      </w:tr>
      <w:tr w:rsidR="00CA6D11" w:rsidRPr="00A318E8" w:rsidTr="005E1E23">
        <w:trPr>
          <w:trHeight w:val="668"/>
        </w:trPr>
        <w:tc>
          <w:tcPr>
            <w:tcW w:w="1851" w:type="dxa"/>
            <w:tcBorders>
              <w:top w:val="single" w:sz="4" w:space="0" w:color="auto"/>
            </w:tcBorders>
            <w:shd w:val="clear" w:color="auto" w:fill="auto"/>
          </w:tcPr>
          <w:p w:rsidR="00CA6D11" w:rsidRPr="00A318E8" w:rsidRDefault="00CA6D11" w:rsidP="005E1E23">
            <w:pPr>
              <w:spacing w:after="0" w:line="240" w:lineRule="auto"/>
              <w:jc w:val="both"/>
              <w:rPr>
                <w:rFonts w:ascii="Times New Roman" w:hAnsi="Times New Roman" w:cs="Times New Roman"/>
                <w:sz w:val="24"/>
                <w:szCs w:val="24"/>
              </w:rPr>
            </w:pPr>
            <w:r w:rsidRPr="00A318E8">
              <w:rPr>
                <w:rFonts w:ascii="Times New Roman" w:hAnsi="Times New Roman" w:cs="Times New Roman"/>
                <w:sz w:val="24"/>
                <w:szCs w:val="24"/>
                <w:lang w:val="en-US"/>
              </w:rPr>
              <w:t>Thiosemicarbazone (L</w:t>
            </w:r>
            <w:r w:rsidRPr="00A318E8">
              <w:rPr>
                <w:rFonts w:ascii="Times New Roman" w:hAnsi="Times New Roman" w:cs="Times New Roman"/>
                <w:sz w:val="24"/>
                <w:szCs w:val="24"/>
                <w:vertAlign w:val="superscript"/>
                <w:lang w:val="en-US"/>
              </w:rPr>
              <w:t>IV</w:t>
            </w:r>
            <w:r w:rsidRPr="00A318E8">
              <w:rPr>
                <w:rFonts w:ascii="Times New Roman" w:hAnsi="Times New Roman" w:cs="Times New Roman"/>
                <w:sz w:val="24"/>
                <w:szCs w:val="24"/>
                <w:lang w:val="en-US"/>
              </w:rPr>
              <w:t>)</w:t>
            </w:r>
          </w:p>
        </w:tc>
        <w:tc>
          <w:tcPr>
            <w:tcW w:w="1745" w:type="dxa"/>
            <w:tcBorders>
              <w:top w:val="single" w:sz="4" w:space="0" w:color="auto"/>
            </w:tcBorders>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45.90(45.85)</w:t>
            </w:r>
          </w:p>
        </w:tc>
        <w:tc>
          <w:tcPr>
            <w:tcW w:w="2479" w:type="dxa"/>
            <w:tcBorders>
              <w:top w:val="single" w:sz="4" w:space="0" w:color="auto"/>
            </w:tcBorders>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4.92(4.89)</w:t>
            </w:r>
          </w:p>
        </w:tc>
        <w:tc>
          <w:tcPr>
            <w:tcW w:w="1615" w:type="dxa"/>
            <w:tcBorders>
              <w:top w:val="single" w:sz="4" w:space="0" w:color="auto"/>
            </w:tcBorders>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22.95(22.44)</w:t>
            </w:r>
          </w:p>
        </w:tc>
        <w:tc>
          <w:tcPr>
            <w:tcW w:w="1615" w:type="dxa"/>
            <w:tcBorders>
              <w:top w:val="single" w:sz="4" w:space="0" w:color="auto"/>
            </w:tcBorders>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17.49(16.21)</w:t>
            </w:r>
          </w:p>
        </w:tc>
      </w:tr>
      <w:tr w:rsidR="00CA6D11" w:rsidRPr="00A318E8" w:rsidTr="005E1E23">
        <w:trPr>
          <w:trHeight w:val="646"/>
        </w:trPr>
        <w:tc>
          <w:tcPr>
            <w:tcW w:w="1851" w:type="dxa"/>
            <w:shd w:val="clear" w:color="auto" w:fill="auto"/>
          </w:tcPr>
          <w:p w:rsidR="00CA6D11" w:rsidRPr="00A318E8" w:rsidRDefault="00CA6D11" w:rsidP="005E1E23">
            <w:pPr>
              <w:spacing w:after="0" w:line="24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74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32.71(31.79)</w:t>
            </w:r>
          </w:p>
        </w:tc>
        <w:tc>
          <w:tcPr>
            <w:tcW w:w="2479"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3.92(2.29)</w:t>
            </w:r>
          </w:p>
        </w:tc>
        <w:tc>
          <w:tcPr>
            <w:tcW w:w="161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16.35(17.64)</w:t>
            </w:r>
          </w:p>
        </w:tc>
        <w:tc>
          <w:tcPr>
            <w:tcW w:w="161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12.46(11.49)</w:t>
            </w:r>
          </w:p>
        </w:tc>
      </w:tr>
      <w:tr w:rsidR="00CA6D11" w:rsidRPr="00A318E8" w:rsidTr="005E1E23">
        <w:trPr>
          <w:trHeight w:val="646"/>
        </w:trPr>
        <w:tc>
          <w:tcPr>
            <w:tcW w:w="1851" w:type="dxa"/>
            <w:shd w:val="clear" w:color="auto" w:fill="auto"/>
          </w:tcPr>
          <w:p w:rsidR="00CA6D11" w:rsidRPr="00A318E8" w:rsidRDefault="00CA6D11" w:rsidP="005E1E23">
            <w:pPr>
              <w:spacing w:after="0" w:line="24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74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32.40(31.53)</w:t>
            </w:r>
          </w:p>
        </w:tc>
        <w:tc>
          <w:tcPr>
            <w:tcW w:w="2479" w:type="dxa"/>
          </w:tcPr>
          <w:p w:rsidR="00CA6D11" w:rsidRPr="00A318E8" w:rsidRDefault="00CA6D11" w:rsidP="003B5159">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3.88(</w:t>
            </w:r>
            <w:r w:rsidR="003B5159">
              <w:rPr>
                <w:rFonts w:ascii="Times New Roman" w:hAnsi="Times New Roman" w:cs="Times New Roman"/>
                <w:sz w:val="24"/>
                <w:szCs w:val="24"/>
                <w:lang w:val="en-US"/>
              </w:rPr>
              <w:t>3</w:t>
            </w:r>
            <w:r w:rsidRPr="00A318E8">
              <w:rPr>
                <w:rFonts w:ascii="Times New Roman" w:hAnsi="Times New Roman" w:cs="Times New Roman"/>
                <w:sz w:val="24"/>
                <w:szCs w:val="24"/>
                <w:lang w:val="en-US"/>
              </w:rPr>
              <w:t>.56)</w:t>
            </w:r>
          </w:p>
        </w:tc>
        <w:tc>
          <w:tcPr>
            <w:tcW w:w="161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16.19(16.35)</w:t>
            </w:r>
          </w:p>
        </w:tc>
        <w:tc>
          <w:tcPr>
            <w:tcW w:w="161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12.36(11.99)</w:t>
            </w:r>
          </w:p>
        </w:tc>
      </w:tr>
      <w:tr w:rsidR="00CA6D11" w:rsidRPr="00A318E8" w:rsidTr="005E1E23">
        <w:trPr>
          <w:trHeight w:val="646"/>
        </w:trPr>
        <w:tc>
          <w:tcPr>
            <w:tcW w:w="1851" w:type="dxa"/>
            <w:shd w:val="clear" w:color="auto" w:fill="auto"/>
          </w:tcPr>
          <w:p w:rsidR="00CA6D11" w:rsidRPr="00A318E8" w:rsidRDefault="00CA6D11" w:rsidP="005E1E23">
            <w:pPr>
              <w:spacing w:after="0" w:line="24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74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31.21(32.46)</w:t>
            </w:r>
          </w:p>
        </w:tc>
        <w:tc>
          <w:tcPr>
            <w:tcW w:w="2479"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4.12(2.16)</w:t>
            </w:r>
          </w:p>
        </w:tc>
        <w:tc>
          <w:tcPr>
            <w:tcW w:w="161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15.60(14.20)</w:t>
            </w:r>
          </w:p>
        </w:tc>
        <w:tc>
          <w:tcPr>
            <w:tcW w:w="1615" w:type="dxa"/>
          </w:tcPr>
          <w:p w:rsidR="00CA6D11" w:rsidRPr="00A318E8" w:rsidRDefault="00CA6D11" w:rsidP="005E1E23">
            <w:pPr>
              <w:spacing w:after="0" w:line="240" w:lineRule="auto"/>
              <w:jc w:val="center"/>
              <w:rPr>
                <w:rFonts w:ascii="Times New Roman" w:hAnsi="Times New Roman" w:cs="Times New Roman"/>
                <w:sz w:val="24"/>
                <w:szCs w:val="24"/>
                <w:lang w:val="en-US"/>
              </w:rPr>
            </w:pPr>
            <w:r w:rsidRPr="00A318E8">
              <w:rPr>
                <w:rFonts w:ascii="Times New Roman" w:hAnsi="Times New Roman" w:cs="Times New Roman"/>
                <w:sz w:val="24"/>
                <w:szCs w:val="24"/>
                <w:lang w:val="en-US"/>
              </w:rPr>
              <w:t>12.13(11.43)</w:t>
            </w:r>
          </w:p>
        </w:tc>
      </w:tr>
    </w:tbl>
    <w:p w:rsidR="00FB5AAE" w:rsidRPr="00A318E8" w:rsidRDefault="00FB5AAE" w:rsidP="00FB5AAE">
      <w:pPr>
        <w:rPr>
          <w:rFonts w:ascii="Times New Roman" w:hAnsi="Times New Roman" w:cs="Times New Roman"/>
          <w:sz w:val="24"/>
          <w:szCs w:val="24"/>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3B5159"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FF2610" w:rsidRDefault="00FF2610" w:rsidP="007859FD">
      <w:pPr>
        <w:spacing w:line="480" w:lineRule="auto"/>
        <w:jc w:val="both"/>
        <w:rPr>
          <w:rFonts w:ascii="Times New Roman" w:hAnsi="Times New Roman" w:cs="Times New Roman"/>
          <w:sz w:val="24"/>
          <w:szCs w:val="24"/>
        </w:rPr>
      </w:pPr>
    </w:p>
    <w:p w:rsidR="00FF2610" w:rsidRDefault="00FF2610" w:rsidP="007859FD">
      <w:pPr>
        <w:spacing w:line="480" w:lineRule="auto"/>
        <w:jc w:val="both"/>
        <w:rPr>
          <w:rFonts w:ascii="Times New Roman" w:hAnsi="Times New Roman" w:cs="Times New Roman"/>
          <w:sz w:val="24"/>
          <w:szCs w:val="24"/>
        </w:rPr>
      </w:pPr>
    </w:p>
    <w:p w:rsidR="007859FD" w:rsidRPr="00FF2610" w:rsidRDefault="007859FD" w:rsidP="007859FD">
      <w:pPr>
        <w:spacing w:line="480" w:lineRule="auto"/>
        <w:jc w:val="both"/>
        <w:rPr>
          <w:rFonts w:ascii="Times New Roman" w:hAnsi="Times New Roman" w:cs="Times New Roman"/>
          <w:b/>
          <w:sz w:val="24"/>
          <w:szCs w:val="24"/>
        </w:rPr>
      </w:pPr>
      <w:r w:rsidRPr="00FF2610">
        <w:rPr>
          <w:rFonts w:ascii="Times New Roman" w:hAnsi="Times New Roman" w:cs="Times New Roman"/>
          <w:b/>
          <w:sz w:val="24"/>
          <w:szCs w:val="24"/>
        </w:rPr>
        <w:lastRenderedPageBreak/>
        <w:t xml:space="preserve">Table 8: Determination of Metal ions in </w:t>
      </w:r>
      <w:r w:rsidRPr="00FF2610">
        <w:rPr>
          <w:rFonts w:ascii="Times New Roman" w:hAnsi="Times New Roman" w:cs="Times New Roman"/>
          <w:b/>
          <w:sz w:val="24"/>
          <w:szCs w:val="24"/>
          <w:lang w:val="en-US"/>
        </w:rPr>
        <w:t>thiosemicarbazone (L)</w:t>
      </w:r>
      <w:r w:rsidRPr="00FF2610">
        <w:rPr>
          <w:rFonts w:ascii="Times New Roman" w:hAnsi="Times New Roman" w:cs="Times New Roman"/>
          <w:b/>
          <w:sz w:val="24"/>
          <w:szCs w:val="24"/>
        </w:rPr>
        <w:t xml:space="preserve"> Complexes using Atomic Absorption Spectrophotometer (AAS)</w:t>
      </w:r>
    </w:p>
    <w:tbl>
      <w:tblPr>
        <w:tblW w:w="8789" w:type="dxa"/>
        <w:tblBorders>
          <w:top w:val="single" w:sz="4" w:space="0" w:color="auto"/>
          <w:bottom w:val="single" w:sz="4" w:space="0" w:color="auto"/>
        </w:tblBorders>
        <w:tblLook w:val="04A0" w:firstRow="1" w:lastRow="0" w:firstColumn="1" w:lastColumn="0" w:noHBand="0" w:noVBand="1"/>
      </w:tblPr>
      <w:tblGrid>
        <w:gridCol w:w="1985"/>
        <w:gridCol w:w="2693"/>
        <w:gridCol w:w="4111"/>
      </w:tblGrid>
      <w:tr w:rsidR="007859FD" w:rsidRPr="00A318E8" w:rsidTr="005E1E23">
        <w:trPr>
          <w:trHeight w:val="890"/>
        </w:trPr>
        <w:tc>
          <w:tcPr>
            <w:tcW w:w="1985" w:type="dxa"/>
            <w:tcBorders>
              <w:top w:val="single" w:sz="4" w:space="0" w:color="auto"/>
              <w:bottom w:val="single" w:sz="4" w:space="0" w:color="auto"/>
            </w:tcBorders>
          </w:tcPr>
          <w:p w:rsidR="007859FD" w:rsidRPr="00A318E8" w:rsidRDefault="007859FD" w:rsidP="005E1E23">
            <w:pPr>
              <w:spacing w:after="0"/>
              <w:jc w:val="both"/>
              <w:rPr>
                <w:rFonts w:ascii="Times New Roman" w:hAnsi="Times New Roman" w:cs="Times New Roman"/>
                <w:b/>
                <w:sz w:val="24"/>
                <w:szCs w:val="24"/>
              </w:rPr>
            </w:pPr>
            <w:r w:rsidRPr="00A318E8">
              <w:rPr>
                <w:rFonts w:ascii="Times New Roman" w:hAnsi="Times New Roman" w:cs="Times New Roman"/>
                <w:b/>
                <w:sz w:val="24"/>
                <w:szCs w:val="24"/>
              </w:rPr>
              <w:t>Compound</w:t>
            </w:r>
          </w:p>
        </w:tc>
        <w:tc>
          <w:tcPr>
            <w:tcW w:w="2693" w:type="dxa"/>
            <w:tcBorders>
              <w:top w:val="single" w:sz="4" w:space="0" w:color="auto"/>
              <w:bottom w:val="single" w:sz="4" w:space="0" w:color="auto"/>
            </w:tcBorders>
          </w:tcPr>
          <w:p w:rsidR="007859FD" w:rsidRPr="00A318E8" w:rsidRDefault="007859FD" w:rsidP="005E1E23">
            <w:pPr>
              <w:spacing w:after="0"/>
              <w:jc w:val="center"/>
              <w:rPr>
                <w:rFonts w:ascii="Times New Roman" w:hAnsi="Times New Roman" w:cs="Times New Roman"/>
                <w:b/>
                <w:sz w:val="24"/>
                <w:szCs w:val="24"/>
              </w:rPr>
            </w:pPr>
            <w:r w:rsidRPr="00A318E8">
              <w:rPr>
                <w:rFonts w:ascii="Times New Roman" w:hAnsi="Times New Roman" w:cs="Times New Roman"/>
                <w:b/>
                <w:sz w:val="24"/>
                <w:szCs w:val="24"/>
              </w:rPr>
              <w:t>Concentration (mg/L)</w:t>
            </w:r>
          </w:p>
        </w:tc>
        <w:tc>
          <w:tcPr>
            <w:tcW w:w="4111" w:type="dxa"/>
            <w:tcBorders>
              <w:top w:val="single" w:sz="4" w:space="0" w:color="auto"/>
              <w:bottom w:val="single" w:sz="4" w:space="0" w:color="auto"/>
            </w:tcBorders>
          </w:tcPr>
          <w:p w:rsidR="007859FD" w:rsidRPr="00A318E8" w:rsidRDefault="007859FD" w:rsidP="005E1E23">
            <w:pPr>
              <w:spacing w:after="0"/>
              <w:jc w:val="center"/>
              <w:rPr>
                <w:rFonts w:ascii="Times New Roman" w:hAnsi="Times New Roman" w:cs="Times New Roman"/>
                <w:b/>
                <w:sz w:val="24"/>
                <w:szCs w:val="24"/>
              </w:rPr>
            </w:pPr>
            <w:r w:rsidRPr="00A318E8">
              <w:rPr>
                <w:rFonts w:ascii="Times New Roman" w:hAnsi="Times New Roman" w:cs="Times New Roman"/>
                <w:b/>
                <w:sz w:val="24"/>
                <w:szCs w:val="24"/>
              </w:rPr>
              <w:t>% of Metal ions</w:t>
            </w:r>
          </w:p>
          <w:p w:rsidR="007859FD" w:rsidRPr="00A318E8" w:rsidRDefault="007859FD" w:rsidP="005E1E23">
            <w:pPr>
              <w:spacing w:after="0"/>
              <w:jc w:val="center"/>
              <w:rPr>
                <w:rFonts w:ascii="Times New Roman" w:hAnsi="Times New Roman" w:cs="Times New Roman"/>
                <w:b/>
                <w:sz w:val="24"/>
                <w:szCs w:val="24"/>
              </w:rPr>
            </w:pPr>
            <w:r w:rsidRPr="00A318E8">
              <w:rPr>
                <w:rFonts w:ascii="Times New Roman" w:hAnsi="Times New Roman" w:cs="Times New Roman"/>
                <w:b/>
                <w:sz w:val="24"/>
                <w:szCs w:val="24"/>
              </w:rPr>
              <w:t>Calculated (Observed)</w:t>
            </w:r>
          </w:p>
        </w:tc>
      </w:tr>
      <w:tr w:rsidR="007859FD" w:rsidRPr="00A318E8" w:rsidTr="005E1E23">
        <w:trPr>
          <w:trHeight w:val="773"/>
        </w:trPr>
        <w:tc>
          <w:tcPr>
            <w:tcW w:w="1985" w:type="dxa"/>
            <w:tcBorders>
              <w:top w:val="single" w:sz="4" w:space="0" w:color="auto"/>
            </w:tcBorders>
            <w:shd w:val="clear" w:color="auto" w:fill="auto"/>
          </w:tcPr>
          <w:p w:rsidR="007859FD" w:rsidRPr="00A318E8" w:rsidRDefault="007859FD" w:rsidP="005E1E23">
            <w:pPr>
              <w:spacing w:after="0"/>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2693" w:type="dxa"/>
            <w:tcBorders>
              <w:top w:val="single" w:sz="4" w:space="0" w:color="auto"/>
            </w:tcBorders>
          </w:tcPr>
          <w:p w:rsidR="007859FD" w:rsidRPr="00A318E8" w:rsidRDefault="007859FD" w:rsidP="005E1E23">
            <w:pPr>
              <w:spacing w:after="0"/>
              <w:jc w:val="center"/>
              <w:rPr>
                <w:rFonts w:ascii="Times New Roman" w:hAnsi="Times New Roman" w:cs="Times New Roman"/>
                <w:sz w:val="24"/>
                <w:szCs w:val="24"/>
              </w:rPr>
            </w:pPr>
            <w:r w:rsidRPr="00A318E8">
              <w:rPr>
                <w:rFonts w:ascii="Times New Roman" w:hAnsi="Times New Roman" w:cs="Times New Roman"/>
                <w:sz w:val="24"/>
                <w:szCs w:val="24"/>
              </w:rPr>
              <w:t>19.98</w:t>
            </w:r>
          </w:p>
        </w:tc>
        <w:tc>
          <w:tcPr>
            <w:tcW w:w="4111" w:type="dxa"/>
            <w:tcBorders>
              <w:top w:val="single" w:sz="4" w:space="0" w:color="auto"/>
            </w:tcBorders>
          </w:tcPr>
          <w:p w:rsidR="007859FD" w:rsidRPr="00A318E8" w:rsidRDefault="007859FD" w:rsidP="005E1E23">
            <w:pPr>
              <w:spacing w:after="0"/>
              <w:jc w:val="center"/>
              <w:rPr>
                <w:rFonts w:ascii="Times New Roman" w:hAnsi="Times New Roman" w:cs="Times New Roman"/>
                <w:sz w:val="24"/>
                <w:szCs w:val="24"/>
              </w:rPr>
            </w:pPr>
            <w:r w:rsidRPr="00A318E8">
              <w:rPr>
                <w:rFonts w:ascii="Times New Roman" w:hAnsi="Times New Roman" w:cs="Times New Roman"/>
                <w:sz w:val="24"/>
                <w:szCs w:val="24"/>
              </w:rPr>
              <w:t>11.4</w:t>
            </w:r>
            <w:r w:rsidRPr="00A318E8">
              <w:rPr>
                <w:rFonts w:ascii="Times New Roman" w:hAnsi="Times New Roman" w:cs="Times New Roman"/>
                <w:sz w:val="24"/>
                <w:szCs w:val="24"/>
                <w:lang w:val="en-US"/>
              </w:rPr>
              <w:t>2(</w:t>
            </w:r>
            <w:r w:rsidRPr="00A318E8">
              <w:rPr>
                <w:rFonts w:ascii="Times New Roman" w:hAnsi="Times New Roman" w:cs="Times New Roman"/>
                <w:sz w:val="24"/>
                <w:szCs w:val="24"/>
              </w:rPr>
              <w:t>9.99)</w:t>
            </w:r>
          </w:p>
        </w:tc>
      </w:tr>
      <w:tr w:rsidR="007859FD" w:rsidRPr="00A318E8" w:rsidTr="005E1E23">
        <w:trPr>
          <w:trHeight w:val="759"/>
        </w:trPr>
        <w:tc>
          <w:tcPr>
            <w:tcW w:w="1985" w:type="dxa"/>
            <w:shd w:val="clear" w:color="auto" w:fill="auto"/>
          </w:tcPr>
          <w:p w:rsidR="007859FD" w:rsidRPr="00A318E8" w:rsidRDefault="007859FD" w:rsidP="005E1E23">
            <w:pPr>
              <w:spacing w:after="0"/>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2693" w:type="dxa"/>
          </w:tcPr>
          <w:p w:rsidR="007859FD" w:rsidRPr="00A318E8" w:rsidRDefault="007859FD" w:rsidP="005E1E23">
            <w:pPr>
              <w:spacing w:after="0"/>
              <w:jc w:val="center"/>
              <w:rPr>
                <w:rFonts w:ascii="Times New Roman" w:hAnsi="Times New Roman" w:cs="Times New Roman"/>
                <w:sz w:val="24"/>
                <w:szCs w:val="24"/>
              </w:rPr>
            </w:pPr>
            <w:r w:rsidRPr="00A318E8">
              <w:rPr>
                <w:rFonts w:ascii="Times New Roman" w:hAnsi="Times New Roman" w:cs="Times New Roman"/>
                <w:sz w:val="24"/>
                <w:szCs w:val="24"/>
              </w:rPr>
              <w:t>2</w:t>
            </w:r>
            <w:r w:rsidRPr="00A318E8">
              <w:rPr>
                <w:rFonts w:ascii="Times New Roman" w:hAnsi="Times New Roman" w:cs="Times New Roman"/>
                <w:sz w:val="24"/>
                <w:szCs w:val="24"/>
                <w:lang w:val="en-US"/>
              </w:rPr>
              <w:t>1</w:t>
            </w:r>
            <w:r w:rsidRPr="00A318E8">
              <w:rPr>
                <w:rFonts w:ascii="Times New Roman" w:hAnsi="Times New Roman" w:cs="Times New Roman"/>
                <w:sz w:val="24"/>
                <w:szCs w:val="24"/>
              </w:rPr>
              <w:t>.50</w:t>
            </w:r>
          </w:p>
        </w:tc>
        <w:tc>
          <w:tcPr>
            <w:tcW w:w="4111" w:type="dxa"/>
          </w:tcPr>
          <w:p w:rsidR="007859FD" w:rsidRPr="00A318E8" w:rsidRDefault="007859FD" w:rsidP="005E1E23">
            <w:pPr>
              <w:spacing w:after="0"/>
              <w:jc w:val="center"/>
              <w:rPr>
                <w:rFonts w:ascii="Times New Roman" w:hAnsi="Times New Roman" w:cs="Times New Roman"/>
                <w:sz w:val="24"/>
                <w:szCs w:val="24"/>
              </w:rPr>
            </w:pPr>
            <w:r w:rsidRPr="00A318E8">
              <w:rPr>
                <w:rFonts w:ascii="Times New Roman" w:hAnsi="Times New Roman" w:cs="Times New Roman"/>
                <w:sz w:val="24"/>
                <w:szCs w:val="24"/>
              </w:rPr>
              <w:t>1</w:t>
            </w:r>
            <w:r w:rsidRPr="00A318E8">
              <w:rPr>
                <w:rFonts w:ascii="Times New Roman" w:hAnsi="Times New Roman" w:cs="Times New Roman"/>
                <w:sz w:val="24"/>
                <w:szCs w:val="24"/>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25</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10.75</w:t>
            </w:r>
            <w:r w:rsidRPr="00A318E8">
              <w:rPr>
                <w:rFonts w:ascii="Times New Roman" w:hAnsi="Times New Roman" w:cs="Times New Roman"/>
                <w:sz w:val="24"/>
                <w:szCs w:val="24"/>
              </w:rPr>
              <w:t>).</w:t>
            </w:r>
          </w:p>
        </w:tc>
      </w:tr>
      <w:tr w:rsidR="007859FD" w:rsidRPr="00A318E8" w:rsidTr="005E1E23">
        <w:trPr>
          <w:trHeight w:val="773"/>
        </w:trPr>
        <w:tc>
          <w:tcPr>
            <w:tcW w:w="1985" w:type="dxa"/>
            <w:shd w:val="clear" w:color="auto" w:fill="auto"/>
          </w:tcPr>
          <w:p w:rsidR="007859FD" w:rsidRPr="00A318E8" w:rsidRDefault="007859FD" w:rsidP="005E1E23">
            <w:pPr>
              <w:spacing w:after="0"/>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2693" w:type="dxa"/>
          </w:tcPr>
          <w:p w:rsidR="007859FD" w:rsidRPr="00A318E8" w:rsidRDefault="007859FD" w:rsidP="005E1E23">
            <w:pPr>
              <w:spacing w:after="0"/>
              <w:jc w:val="center"/>
              <w:rPr>
                <w:rFonts w:ascii="Times New Roman" w:hAnsi="Times New Roman" w:cs="Times New Roman"/>
                <w:sz w:val="24"/>
                <w:szCs w:val="24"/>
              </w:rPr>
            </w:pPr>
            <w:r w:rsidRPr="00A318E8">
              <w:rPr>
                <w:rFonts w:ascii="Times New Roman" w:hAnsi="Times New Roman" w:cs="Times New Roman"/>
                <w:sz w:val="24"/>
                <w:szCs w:val="24"/>
              </w:rPr>
              <w:t>22.18</w:t>
            </w:r>
          </w:p>
        </w:tc>
        <w:tc>
          <w:tcPr>
            <w:tcW w:w="4111" w:type="dxa"/>
          </w:tcPr>
          <w:p w:rsidR="007859FD" w:rsidRPr="00A318E8" w:rsidRDefault="007859FD" w:rsidP="005E1E23">
            <w:pPr>
              <w:spacing w:after="0"/>
              <w:jc w:val="center"/>
              <w:rPr>
                <w:rFonts w:ascii="Times New Roman" w:hAnsi="Times New Roman" w:cs="Times New Roman"/>
                <w:sz w:val="24"/>
                <w:szCs w:val="24"/>
              </w:rPr>
            </w:pPr>
            <w:r w:rsidRPr="00A318E8">
              <w:rPr>
                <w:rFonts w:ascii="Times New Roman" w:hAnsi="Times New Roman" w:cs="Times New Roman"/>
                <w:sz w:val="24"/>
                <w:szCs w:val="24"/>
                <w:lang w:val="en-US"/>
              </w:rPr>
              <w:t>12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13</w:t>
            </w:r>
            <w:r w:rsidRPr="00A318E8">
              <w:rPr>
                <w:rFonts w:ascii="Times New Roman" w:hAnsi="Times New Roman" w:cs="Times New Roman"/>
                <w:sz w:val="24"/>
                <w:szCs w:val="24"/>
              </w:rPr>
              <w:t>(11.09)</w:t>
            </w:r>
          </w:p>
        </w:tc>
      </w:tr>
    </w:tbl>
    <w:p w:rsidR="00BD7CA4" w:rsidRPr="00A318E8" w:rsidRDefault="007859FD">
      <w:pPr>
        <w:rPr>
          <w:rFonts w:ascii="Times New Roman" w:hAnsi="Times New Roman" w:cs="Times New Roman"/>
          <w:sz w:val="24"/>
          <w:szCs w:val="24"/>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223C52"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EE1421" w:rsidRDefault="00EE1421" w:rsidP="00537DCF">
      <w:pPr>
        <w:tabs>
          <w:tab w:val="center" w:pos="827"/>
        </w:tabs>
        <w:rPr>
          <w:rFonts w:ascii="Times New Roman" w:hAnsi="Times New Roman" w:cs="Times New Roman"/>
          <w:b/>
        </w:rPr>
      </w:pPr>
    </w:p>
    <w:p w:rsidR="00537DCF" w:rsidRPr="00A318E8" w:rsidRDefault="00B317B2" w:rsidP="00537DCF">
      <w:pPr>
        <w:tabs>
          <w:tab w:val="center" w:pos="827"/>
        </w:tabs>
        <w:rPr>
          <w:rFonts w:ascii="Times New Roman" w:hAnsi="Times New Roman" w:cs="Times New Roman"/>
          <w:b/>
          <w:sz w:val="24"/>
          <w:szCs w:val="24"/>
        </w:rPr>
      </w:pPr>
      <w:r w:rsidRPr="00A318E8">
        <w:rPr>
          <w:rFonts w:ascii="Times New Roman" w:hAnsi="Times New Roman" w:cs="Times New Roman"/>
          <w:b/>
        </w:rPr>
        <w:lastRenderedPageBreak/>
        <w:t xml:space="preserve">Table </w:t>
      </w:r>
      <w:r w:rsidR="00FF2610">
        <w:rPr>
          <w:rFonts w:ascii="Times New Roman" w:hAnsi="Times New Roman" w:cs="Times New Roman"/>
          <w:b/>
        </w:rPr>
        <w:t>9</w:t>
      </w:r>
      <w:r w:rsidRPr="00A318E8">
        <w:rPr>
          <w:rFonts w:ascii="Times New Roman" w:hAnsi="Times New Roman" w:cs="Times New Roman"/>
          <w:b/>
        </w:rPr>
        <w:t>: Anti</w:t>
      </w:r>
      <w:r w:rsidR="00537DCF" w:rsidRPr="00A318E8">
        <w:rPr>
          <w:rFonts w:ascii="Times New Roman" w:hAnsi="Times New Roman" w:cs="Times New Roman"/>
          <w:b/>
        </w:rPr>
        <w:t>bacterial</w:t>
      </w:r>
      <w:r w:rsidRPr="00A318E8">
        <w:rPr>
          <w:rFonts w:ascii="Times New Roman" w:hAnsi="Times New Roman" w:cs="Times New Roman"/>
          <w:b/>
        </w:rPr>
        <w:t xml:space="preserve"> Activity (Zone of Inhibition, mm) of the </w:t>
      </w:r>
      <w:r w:rsidR="00537DCF" w:rsidRPr="00A318E8">
        <w:rPr>
          <w:rFonts w:ascii="Times New Roman" w:hAnsi="Times New Roman" w:cs="Times New Roman"/>
          <w:b/>
          <w:sz w:val="24"/>
          <w:szCs w:val="24"/>
        </w:rPr>
        <w:t xml:space="preserve">Thiosemicarbazone </w:t>
      </w:r>
    </w:p>
    <w:p w:rsidR="00B317B2" w:rsidRPr="00A318E8" w:rsidRDefault="00B317B2" w:rsidP="00B317B2">
      <w:pPr>
        <w:tabs>
          <w:tab w:val="center" w:pos="827"/>
        </w:tabs>
        <w:rPr>
          <w:rFonts w:ascii="Times New Roman" w:hAnsi="Times New Roman" w:cs="Times New Roman"/>
        </w:rPr>
      </w:pPr>
      <w:r w:rsidRPr="00A318E8">
        <w:rPr>
          <w:rFonts w:ascii="Times New Roman" w:hAnsi="Times New Roman" w:cs="Times New Roman"/>
        </w:rPr>
        <w:t>Schiff base Ligand (L) and its Ni(II), Cu(II), and Zn(II) Complexes</w:t>
      </w:r>
    </w:p>
    <w:tbl>
      <w:tblPr>
        <w:tblW w:w="0" w:type="auto"/>
        <w:tblBorders>
          <w:top w:val="single" w:sz="4" w:space="0" w:color="auto"/>
          <w:bottom w:val="single" w:sz="4" w:space="0" w:color="auto"/>
        </w:tblBorders>
        <w:tblLook w:val="04A0" w:firstRow="1" w:lastRow="0" w:firstColumn="1" w:lastColumn="0" w:noHBand="0" w:noVBand="1"/>
      </w:tblPr>
      <w:tblGrid>
        <w:gridCol w:w="2096"/>
        <w:gridCol w:w="1738"/>
        <w:gridCol w:w="1778"/>
        <w:gridCol w:w="1746"/>
        <w:gridCol w:w="1668"/>
      </w:tblGrid>
      <w:tr w:rsidR="00B317B2" w:rsidRPr="00A318E8" w:rsidTr="00540631">
        <w:tc>
          <w:tcPr>
            <w:tcW w:w="2096" w:type="dxa"/>
            <w:tcBorders>
              <w:top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rPr>
            </w:pPr>
            <w:r w:rsidRPr="00A318E8">
              <w:rPr>
                <w:rFonts w:ascii="Times New Roman" w:hAnsi="Times New Roman" w:cs="Times New Roman"/>
              </w:rPr>
              <w:t>Compound</w:t>
            </w:r>
          </w:p>
        </w:tc>
        <w:tc>
          <w:tcPr>
            <w:tcW w:w="1738" w:type="dxa"/>
            <w:tcBorders>
              <w:top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rPr>
            </w:pPr>
            <w:r w:rsidRPr="00A318E8">
              <w:rPr>
                <w:rFonts w:ascii="Times New Roman" w:hAnsi="Times New Roman" w:cs="Times New Roman"/>
              </w:rPr>
              <w:t>Concentration (µg/mL)</w:t>
            </w:r>
          </w:p>
        </w:tc>
        <w:tc>
          <w:tcPr>
            <w:tcW w:w="3524" w:type="dxa"/>
            <w:gridSpan w:val="2"/>
            <w:tcBorders>
              <w:top w:val="single" w:sz="4" w:space="0" w:color="auto"/>
              <w:bottom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rPr>
            </w:pPr>
            <w:r w:rsidRPr="00A318E8">
              <w:rPr>
                <w:rFonts w:ascii="Times New Roman" w:hAnsi="Times New Roman" w:cs="Times New Roman"/>
              </w:rPr>
              <w:t>Gram-positive Bacteria (mm)</w:t>
            </w:r>
          </w:p>
        </w:tc>
        <w:tc>
          <w:tcPr>
            <w:tcW w:w="1668" w:type="dxa"/>
            <w:tcBorders>
              <w:bottom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rPr>
            </w:pPr>
            <w:r w:rsidRPr="00A318E8">
              <w:rPr>
                <w:rFonts w:ascii="Times New Roman" w:hAnsi="Times New Roman" w:cs="Times New Roman"/>
              </w:rPr>
              <w:t>Gram-negative Bacteria (mm)</w:t>
            </w:r>
          </w:p>
        </w:tc>
      </w:tr>
      <w:tr w:rsidR="00B317B2" w:rsidRPr="00A318E8" w:rsidTr="00540631">
        <w:tc>
          <w:tcPr>
            <w:tcW w:w="2096" w:type="dxa"/>
            <w:tcBorders>
              <w:bottom w:val="single" w:sz="4" w:space="0" w:color="auto"/>
            </w:tcBorders>
          </w:tcPr>
          <w:p w:rsidR="00B317B2" w:rsidRPr="00A318E8" w:rsidRDefault="00B317B2" w:rsidP="005E1E23">
            <w:pPr>
              <w:tabs>
                <w:tab w:val="center" w:pos="827"/>
              </w:tabs>
              <w:spacing w:line="240" w:lineRule="auto"/>
              <w:rPr>
                <w:rFonts w:ascii="Times New Roman" w:hAnsi="Times New Roman" w:cs="Times New Roman"/>
              </w:rPr>
            </w:pPr>
          </w:p>
        </w:tc>
        <w:tc>
          <w:tcPr>
            <w:tcW w:w="1738" w:type="dxa"/>
            <w:tcBorders>
              <w:bottom w:val="single" w:sz="4" w:space="0" w:color="auto"/>
            </w:tcBorders>
          </w:tcPr>
          <w:p w:rsidR="00B317B2" w:rsidRPr="00A318E8" w:rsidRDefault="00B317B2" w:rsidP="005E1E23">
            <w:pPr>
              <w:tabs>
                <w:tab w:val="center" w:pos="827"/>
              </w:tabs>
              <w:spacing w:line="240" w:lineRule="auto"/>
              <w:rPr>
                <w:rFonts w:ascii="Times New Roman" w:hAnsi="Times New Roman" w:cs="Times New Roman"/>
              </w:rPr>
            </w:pPr>
          </w:p>
        </w:tc>
        <w:tc>
          <w:tcPr>
            <w:tcW w:w="1778" w:type="dxa"/>
            <w:tcBorders>
              <w:top w:val="single" w:sz="4" w:space="0" w:color="auto"/>
              <w:bottom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i/>
              </w:rPr>
            </w:pPr>
            <w:r w:rsidRPr="00A318E8">
              <w:rPr>
                <w:rFonts w:ascii="Times New Roman" w:hAnsi="Times New Roman" w:cs="Times New Roman"/>
                <w:i/>
              </w:rPr>
              <w:t>Staphylococcus aureus</w:t>
            </w:r>
          </w:p>
        </w:tc>
        <w:tc>
          <w:tcPr>
            <w:tcW w:w="1746" w:type="dxa"/>
            <w:tcBorders>
              <w:top w:val="single" w:sz="4" w:space="0" w:color="auto"/>
              <w:bottom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i/>
              </w:rPr>
            </w:pPr>
            <w:r w:rsidRPr="00A318E8">
              <w:rPr>
                <w:rFonts w:ascii="Times New Roman" w:hAnsi="Times New Roman" w:cs="Times New Roman"/>
                <w:i/>
              </w:rPr>
              <w:t>Escherichia coli</w:t>
            </w:r>
          </w:p>
        </w:tc>
        <w:tc>
          <w:tcPr>
            <w:tcW w:w="1668" w:type="dxa"/>
            <w:tcBorders>
              <w:top w:val="single" w:sz="4" w:space="0" w:color="auto"/>
              <w:bottom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i/>
              </w:rPr>
            </w:pPr>
            <w:r w:rsidRPr="00A318E8">
              <w:rPr>
                <w:rFonts w:ascii="Times New Roman" w:hAnsi="Times New Roman" w:cs="Times New Roman"/>
                <w:i/>
              </w:rPr>
              <w:t>Salmonella typhi</w:t>
            </w:r>
          </w:p>
        </w:tc>
      </w:tr>
      <w:tr w:rsidR="00B317B2" w:rsidRPr="00A318E8" w:rsidTr="00540631">
        <w:tc>
          <w:tcPr>
            <w:tcW w:w="2096" w:type="dxa"/>
            <w:vMerge w:val="restart"/>
            <w:tcBorders>
              <w:top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 xml:space="preserve">Thiosemicarbazone </w:t>
            </w:r>
          </w:p>
        </w:tc>
        <w:tc>
          <w:tcPr>
            <w:tcW w:w="1738" w:type="dxa"/>
            <w:tcBorders>
              <w:top w:val="single" w:sz="4" w:space="0" w:color="auto"/>
            </w:tcBorders>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2000</w:t>
            </w:r>
          </w:p>
        </w:tc>
        <w:tc>
          <w:tcPr>
            <w:tcW w:w="1778" w:type="dxa"/>
            <w:tcBorders>
              <w:top w:val="single" w:sz="4" w:space="0" w:color="auto"/>
            </w:tcBorders>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w:t>
            </w:r>
          </w:p>
        </w:tc>
        <w:tc>
          <w:tcPr>
            <w:tcW w:w="1746" w:type="dxa"/>
            <w:tcBorders>
              <w:top w:val="single" w:sz="4" w:space="0" w:color="auto"/>
            </w:tcBorders>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12</w:t>
            </w:r>
          </w:p>
        </w:tc>
        <w:tc>
          <w:tcPr>
            <w:tcW w:w="1668" w:type="dxa"/>
            <w:tcBorders>
              <w:top w:val="single" w:sz="4" w:space="0" w:color="auto"/>
            </w:tcBorders>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14</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1000</w:t>
            </w:r>
          </w:p>
        </w:tc>
        <w:tc>
          <w:tcPr>
            <w:tcW w:w="177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09</w:t>
            </w:r>
          </w:p>
        </w:tc>
        <w:tc>
          <w:tcPr>
            <w:tcW w:w="1746"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w:t>
            </w:r>
          </w:p>
        </w:tc>
        <w:tc>
          <w:tcPr>
            <w:tcW w:w="166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12</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500</w:t>
            </w:r>
          </w:p>
        </w:tc>
        <w:tc>
          <w:tcPr>
            <w:tcW w:w="177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07</w:t>
            </w:r>
          </w:p>
        </w:tc>
        <w:tc>
          <w:tcPr>
            <w:tcW w:w="1746"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08</w:t>
            </w:r>
          </w:p>
        </w:tc>
        <w:tc>
          <w:tcPr>
            <w:tcW w:w="166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250</w:t>
            </w: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06</w:t>
            </w:r>
          </w:p>
        </w:tc>
        <w:tc>
          <w:tcPr>
            <w:tcW w:w="1746"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07</w:t>
            </w:r>
          </w:p>
        </w:tc>
        <w:tc>
          <w:tcPr>
            <w:tcW w:w="166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06</w:t>
            </w:r>
          </w:p>
        </w:tc>
      </w:tr>
      <w:tr w:rsidR="00540631" w:rsidRPr="00A318E8" w:rsidTr="00540631">
        <w:tc>
          <w:tcPr>
            <w:tcW w:w="2096" w:type="dxa"/>
            <w:vMerge w:val="restart"/>
          </w:tcPr>
          <w:p w:rsidR="00540631" w:rsidRPr="00A318E8" w:rsidRDefault="00540631" w:rsidP="005E1E23">
            <w:pPr>
              <w:spacing w:after="0" w:line="240" w:lineRule="auto"/>
              <w:jc w:val="both"/>
              <w:rPr>
                <w:rFonts w:ascii="Times New Roman" w:hAnsi="Times New Roman" w:cs="Times New Roman"/>
                <w:sz w:val="24"/>
                <w:szCs w:val="24"/>
              </w:rPr>
            </w:pPr>
            <w:r w:rsidRPr="00A318E8">
              <w:rPr>
                <w:rFonts w:ascii="Times New Roman" w:hAnsi="Times New Roman" w:cs="Times New Roman"/>
                <w:sz w:val="24"/>
                <w:szCs w:val="24"/>
              </w:rPr>
              <w:t>[Ni(L)</w:t>
            </w:r>
            <w:r w:rsidRPr="00A318E8">
              <w:rPr>
                <w:rFonts w:ascii="Times New Roman" w:hAnsi="Times New Roman" w:cs="Times New Roman"/>
                <w:sz w:val="24"/>
                <w:szCs w:val="24"/>
                <w:vertAlign w:val="subscript"/>
              </w:rPr>
              <w:t xml:space="preserve">2 </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73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2000</w:t>
            </w:r>
          </w:p>
        </w:tc>
        <w:tc>
          <w:tcPr>
            <w:tcW w:w="1778" w:type="dxa"/>
          </w:tcPr>
          <w:p w:rsidR="00540631"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19</w:t>
            </w:r>
          </w:p>
        </w:tc>
        <w:tc>
          <w:tcPr>
            <w:tcW w:w="1746" w:type="dxa"/>
          </w:tcPr>
          <w:p w:rsidR="00540631" w:rsidRPr="00A318E8" w:rsidRDefault="00702DE5"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18</w:t>
            </w:r>
          </w:p>
        </w:tc>
        <w:tc>
          <w:tcPr>
            <w:tcW w:w="166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17</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1000</w:t>
            </w:r>
          </w:p>
        </w:tc>
        <w:tc>
          <w:tcPr>
            <w:tcW w:w="177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15</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16</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14</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500</w:t>
            </w:r>
          </w:p>
        </w:tc>
        <w:tc>
          <w:tcPr>
            <w:tcW w:w="177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13</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14</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11</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250</w:t>
            </w:r>
          </w:p>
        </w:tc>
        <w:tc>
          <w:tcPr>
            <w:tcW w:w="177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09</w:t>
            </w:r>
          </w:p>
        </w:tc>
        <w:tc>
          <w:tcPr>
            <w:tcW w:w="1746"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w:t>
            </w:r>
          </w:p>
        </w:tc>
        <w:tc>
          <w:tcPr>
            <w:tcW w:w="166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08</w:t>
            </w:r>
          </w:p>
        </w:tc>
      </w:tr>
      <w:tr w:rsidR="00540631" w:rsidRPr="00A318E8" w:rsidTr="00540631">
        <w:tc>
          <w:tcPr>
            <w:tcW w:w="2096" w:type="dxa"/>
            <w:vMerge w:val="restart"/>
          </w:tcPr>
          <w:p w:rsidR="00540631" w:rsidRPr="00A318E8" w:rsidRDefault="00540631" w:rsidP="005E1E23">
            <w:pPr>
              <w:spacing w:after="0" w:line="24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[Cu(L)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73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2000</w:t>
            </w:r>
          </w:p>
        </w:tc>
        <w:tc>
          <w:tcPr>
            <w:tcW w:w="177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w:t>
            </w:r>
            <w:r w:rsidR="008E6CDD" w:rsidRPr="00A318E8">
              <w:rPr>
                <w:rFonts w:ascii="Times New Roman" w:hAnsi="Times New Roman" w:cs="Times New Roman"/>
                <w:sz w:val="24"/>
                <w:szCs w:val="24"/>
              </w:rPr>
              <w:t>4</w:t>
            </w:r>
          </w:p>
        </w:tc>
        <w:tc>
          <w:tcPr>
            <w:tcW w:w="1746" w:type="dxa"/>
          </w:tcPr>
          <w:p w:rsidR="00540631"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20</w:t>
            </w:r>
          </w:p>
        </w:tc>
        <w:tc>
          <w:tcPr>
            <w:tcW w:w="166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w:t>
            </w:r>
            <w:r w:rsidR="00702DE5" w:rsidRPr="00A318E8">
              <w:rPr>
                <w:rFonts w:ascii="Times New Roman" w:hAnsi="Times New Roman" w:cs="Times New Roman"/>
                <w:sz w:val="24"/>
                <w:szCs w:val="24"/>
              </w:rPr>
              <w:t>8</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1000</w:t>
            </w:r>
          </w:p>
        </w:tc>
        <w:tc>
          <w:tcPr>
            <w:tcW w:w="1778" w:type="dxa"/>
          </w:tcPr>
          <w:p w:rsidR="00B317B2" w:rsidRPr="00A318E8" w:rsidRDefault="00702DE5"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21</w:t>
            </w:r>
          </w:p>
        </w:tc>
        <w:tc>
          <w:tcPr>
            <w:tcW w:w="1746"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17</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16</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500</w:t>
            </w: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17</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w:t>
            </w:r>
            <w:r w:rsidR="008E6CDD" w:rsidRPr="00A318E8">
              <w:rPr>
                <w:rFonts w:ascii="Times New Roman" w:hAnsi="Times New Roman" w:cs="Times New Roman"/>
                <w:sz w:val="24"/>
                <w:szCs w:val="24"/>
              </w:rPr>
              <w:t>5</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14</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250</w:t>
            </w: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15</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w:t>
            </w:r>
            <w:r w:rsidR="008E6CDD" w:rsidRPr="00A318E8">
              <w:rPr>
                <w:rFonts w:ascii="Times New Roman" w:hAnsi="Times New Roman" w:cs="Times New Roman"/>
                <w:sz w:val="24"/>
                <w:szCs w:val="24"/>
              </w:rPr>
              <w:t>3</w:t>
            </w:r>
          </w:p>
        </w:tc>
        <w:tc>
          <w:tcPr>
            <w:tcW w:w="1668" w:type="dxa"/>
          </w:tcPr>
          <w:p w:rsidR="00B317B2" w:rsidRPr="00A318E8" w:rsidRDefault="008E6CDD"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08</w:t>
            </w:r>
          </w:p>
        </w:tc>
      </w:tr>
      <w:tr w:rsidR="00540631" w:rsidRPr="00A318E8" w:rsidTr="00540631">
        <w:tc>
          <w:tcPr>
            <w:tcW w:w="2096" w:type="dxa"/>
            <w:vMerge w:val="restart"/>
          </w:tcPr>
          <w:p w:rsidR="00540631" w:rsidRPr="00A318E8" w:rsidRDefault="00540631" w:rsidP="005E1E23">
            <w:pPr>
              <w:spacing w:after="0" w:line="240" w:lineRule="auto"/>
              <w:jc w:val="both"/>
              <w:rPr>
                <w:rFonts w:ascii="Times New Roman" w:hAnsi="Times New Roman" w:cs="Times New Roman"/>
                <w:sz w:val="24"/>
                <w:szCs w:val="24"/>
                <w:lang w:val="en-US"/>
              </w:rPr>
            </w:pPr>
            <w:r w:rsidRPr="00A318E8">
              <w:rPr>
                <w:rFonts w:ascii="Times New Roman" w:hAnsi="Times New Roman" w:cs="Times New Roman"/>
                <w:sz w:val="24"/>
                <w:szCs w:val="24"/>
              </w:rPr>
              <w:t>[Zn(L)</w:t>
            </w:r>
            <w:r w:rsidRPr="00A318E8">
              <w:rPr>
                <w:rFonts w:ascii="Times New Roman" w:hAnsi="Times New Roman" w:cs="Times New Roman"/>
                <w:sz w:val="24"/>
                <w:szCs w:val="24"/>
                <w:vertAlign w:val="subscript"/>
              </w:rPr>
              <w:t>2</w:t>
            </w:r>
            <w:r w:rsidRPr="00A318E8">
              <w:rPr>
                <w:rFonts w:ascii="Times New Roman" w:hAnsi="Times New Roman" w:cs="Times New Roman"/>
                <w:bCs/>
                <w:sz w:val="24"/>
                <w:szCs w:val="24"/>
                <w:lang w:val="en-US"/>
              </w:rPr>
              <w:t>Cl</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sz w:val="24"/>
                <w:szCs w:val="24"/>
                <w:vertAlign w:val="subscript"/>
              </w:rPr>
              <w:t xml:space="preserve"> </w:t>
            </w:r>
            <w:r w:rsidRPr="00A318E8">
              <w:rPr>
                <w:rFonts w:ascii="Times New Roman" w:hAnsi="Times New Roman" w:cs="Times New Roman"/>
                <w:sz w:val="24"/>
                <w:szCs w:val="24"/>
              </w:rPr>
              <w:t>]</w:t>
            </w:r>
            <w:r w:rsidRPr="00A318E8">
              <w:rPr>
                <w:rFonts w:ascii="Times New Roman" w:hAnsi="Times New Roman" w:cs="Times New Roman"/>
                <w:sz w:val="24"/>
                <w:szCs w:val="24"/>
                <w:lang w:val="en-US"/>
              </w:rPr>
              <w:t>.2</w:t>
            </w:r>
            <w:r w:rsidRPr="00A318E8">
              <w:rPr>
                <w:rFonts w:ascii="Times New Roman" w:hAnsi="Times New Roman" w:cs="Times New Roman"/>
                <w:bCs/>
                <w:sz w:val="24"/>
                <w:szCs w:val="24"/>
                <w:lang w:val="en-US"/>
              </w:rPr>
              <w:t>H</w:t>
            </w:r>
            <w:r w:rsidRPr="00A318E8">
              <w:rPr>
                <w:rFonts w:ascii="Times New Roman" w:hAnsi="Times New Roman" w:cs="Times New Roman"/>
                <w:bCs/>
                <w:sz w:val="24"/>
                <w:szCs w:val="24"/>
                <w:vertAlign w:val="subscript"/>
                <w:lang w:val="en-US"/>
              </w:rPr>
              <w:t>2</w:t>
            </w:r>
            <w:r w:rsidRPr="00A318E8">
              <w:rPr>
                <w:rFonts w:ascii="Times New Roman" w:hAnsi="Times New Roman" w:cs="Times New Roman"/>
                <w:bCs/>
                <w:sz w:val="24"/>
                <w:szCs w:val="24"/>
                <w:lang w:val="en-US"/>
              </w:rPr>
              <w:t>O</w:t>
            </w:r>
          </w:p>
        </w:tc>
        <w:tc>
          <w:tcPr>
            <w:tcW w:w="173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2000</w:t>
            </w:r>
          </w:p>
        </w:tc>
        <w:tc>
          <w:tcPr>
            <w:tcW w:w="177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21</w:t>
            </w:r>
          </w:p>
        </w:tc>
        <w:tc>
          <w:tcPr>
            <w:tcW w:w="1746"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18</w:t>
            </w:r>
          </w:p>
        </w:tc>
        <w:tc>
          <w:tcPr>
            <w:tcW w:w="1668" w:type="dxa"/>
          </w:tcPr>
          <w:p w:rsidR="00540631" w:rsidRPr="00A318E8" w:rsidRDefault="00540631"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15</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1000</w:t>
            </w: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19</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14</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13</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500</w:t>
            </w: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16</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13</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w:t>
            </w:r>
          </w:p>
        </w:tc>
      </w:tr>
      <w:tr w:rsidR="00B317B2" w:rsidRPr="00A318E8" w:rsidTr="00540631">
        <w:tc>
          <w:tcPr>
            <w:tcW w:w="2096" w:type="dxa"/>
            <w:vMerge/>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3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250</w:t>
            </w: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13</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10</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09</w:t>
            </w:r>
          </w:p>
        </w:tc>
      </w:tr>
      <w:tr w:rsidR="00B317B2" w:rsidRPr="00A318E8" w:rsidTr="00540631">
        <w:tc>
          <w:tcPr>
            <w:tcW w:w="2096" w:type="dxa"/>
          </w:tcPr>
          <w:p w:rsidR="00B317B2" w:rsidRPr="00A318E8" w:rsidRDefault="00B317B2" w:rsidP="005E1E23">
            <w:pPr>
              <w:tabs>
                <w:tab w:val="center" w:pos="827"/>
              </w:tabs>
              <w:spacing w:line="240" w:lineRule="auto"/>
              <w:rPr>
                <w:rFonts w:ascii="Times New Roman" w:hAnsi="Times New Roman" w:cs="Times New Roman"/>
                <w:sz w:val="24"/>
                <w:szCs w:val="24"/>
              </w:rPr>
            </w:pPr>
            <w:r w:rsidRPr="00A318E8">
              <w:rPr>
                <w:rFonts w:ascii="Times New Roman" w:hAnsi="Times New Roman" w:cs="Times New Roman"/>
                <w:sz w:val="24"/>
                <w:szCs w:val="24"/>
              </w:rPr>
              <w:t>Ciprofloxacin</w:t>
            </w:r>
          </w:p>
        </w:tc>
        <w:tc>
          <w:tcPr>
            <w:tcW w:w="1738" w:type="dxa"/>
          </w:tcPr>
          <w:p w:rsidR="00B317B2" w:rsidRPr="00A318E8" w:rsidRDefault="00B317B2" w:rsidP="005E1E23">
            <w:pPr>
              <w:tabs>
                <w:tab w:val="center" w:pos="827"/>
              </w:tabs>
              <w:spacing w:line="240" w:lineRule="auto"/>
              <w:rPr>
                <w:rFonts w:ascii="Times New Roman" w:hAnsi="Times New Roman" w:cs="Times New Roman"/>
                <w:sz w:val="24"/>
                <w:szCs w:val="24"/>
              </w:rPr>
            </w:pPr>
          </w:p>
        </w:tc>
        <w:tc>
          <w:tcPr>
            <w:tcW w:w="177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26</w:t>
            </w:r>
          </w:p>
        </w:tc>
        <w:tc>
          <w:tcPr>
            <w:tcW w:w="1746"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25</w:t>
            </w:r>
          </w:p>
        </w:tc>
        <w:tc>
          <w:tcPr>
            <w:tcW w:w="1668" w:type="dxa"/>
          </w:tcPr>
          <w:p w:rsidR="00B317B2" w:rsidRPr="00A318E8" w:rsidRDefault="00B317B2" w:rsidP="005E1E23">
            <w:pPr>
              <w:tabs>
                <w:tab w:val="center" w:pos="827"/>
              </w:tabs>
              <w:spacing w:line="240" w:lineRule="auto"/>
              <w:jc w:val="center"/>
              <w:rPr>
                <w:rFonts w:ascii="Times New Roman" w:hAnsi="Times New Roman" w:cs="Times New Roman"/>
                <w:sz w:val="24"/>
                <w:szCs w:val="24"/>
              </w:rPr>
            </w:pPr>
            <w:r w:rsidRPr="00A318E8">
              <w:rPr>
                <w:rFonts w:ascii="Times New Roman" w:hAnsi="Times New Roman" w:cs="Times New Roman"/>
                <w:sz w:val="24"/>
                <w:szCs w:val="24"/>
              </w:rPr>
              <w:t>19</w:t>
            </w:r>
          </w:p>
        </w:tc>
      </w:tr>
    </w:tbl>
    <w:p w:rsidR="00B317B2" w:rsidRPr="00A318E8" w:rsidRDefault="00B317B2" w:rsidP="00B317B2">
      <w:pPr>
        <w:rPr>
          <w:rFonts w:ascii="Times New Roman" w:hAnsi="Times New Roman" w:cs="Times New Roman"/>
          <w:sz w:val="24"/>
          <w:szCs w:val="24"/>
        </w:rPr>
      </w:pPr>
      <w:r w:rsidRPr="00A318E8">
        <w:rPr>
          <w:rFonts w:ascii="Times New Roman" w:hAnsi="Times New Roman" w:cs="Times New Roman"/>
          <w:sz w:val="24"/>
          <w:szCs w:val="24"/>
        </w:rPr>
        <w:t>L= C</w:t>
      </w:r>
      <w:r w:rsidRPr="00A318E8">
        <w:rPr>
          <w:rFonts w:ascii="Times New Roman" w:hAnsi="Times New Roman" w:cs="Times New Roman"/>
          <w:sz w:val="24"/>
          <w:szCs w:val="24"/>
          <w:vertAlign w:val="subscript"/>
        </w:rPr>
        <w:t>7</w:t>
      </w:r>
      <w:r w:rsidRPr="00A318E8">
        <w:rPr>
          <w:rFonts w:ascii="Times New Roman" w:hAnsi="Times New Roman" w:cs="Times New Roman"/>
          <w:sz w:val="24"/>
          <w:szCs w:val="24"/>
        </w:rPr>
        <w:t>H</w:t>
      </w:r>
      <w:r w:rsidRPr="00A318E8">
        <w:rPr>
          <w:rFonts w:ascii="Times New Roman" w:hAnsi="Times New Roman" w:cs="Times New Roman"/>
          <w:sz w:val="24"/>
          <w:szCs w:val="24"/>
          <w:vertAlign w:val="subscript"/>
        </w:rPr>
        <w:t>9</w:t>
      </w:r>
      <w:r w:rsidRPr="00A318E8">
        <w:rPr>
          <w:rFonts w:ascii="Times New Roman" w:hAnsi="Times New Roman" w:cs="Times New Roman"/>
          <w:sz w:val="24"/>
          <w:szCs w:val="24"/>
        </w:rPr>
        <w:t>N</w:t>
      </w:r>
      <w:r w:rsidRPr="00A318E8">
        <w:rPr>
          <w:rFonts w:ascii="Times New Roman" w:hAnsi="Times New Roman" w:cs="Times New Roman"/>
          <w:sz w:val="24"/>
          <w:szCs w:val="24"/>
          <w:vertAlign w:val="subscript"/>
        </w:rPr>
        <w:t>3</w:t>
      </w:r>
      <w:r w:rsidRPr="00A318E8">
        <w:rPr>
          <w:rFonts w:ascii="Times New Roman" w:hAnsi="Times New Roman" w:cs="Times New Roman"/>
          <w:sz w:val="24"/>
          <w:szCs w:val="24"/>
        </w:rPr>
        <w:t>O</w:t>
      </w:r>
      <w:r w:rsidR="00223C52" w:rsidRPr="00A318E8">
        <w:rPr>
          <w:rFonts w:ascii="Times New Roman" w:hAnsi="Times New Roman" w:cs="Times New Roman"/>
          <w:sz w:val="24"/>
          <w:szCs w:val="24"/>
        </w:rPr>
        <w:t>S</w:t>
      </w:r>
      <w:r w:rsidRPr="00A318E8">
        <w:rPr>
          <w:rFonts w:ascii="Times New Roman" w:hAnsi="Times New Roman" w:cs="Times New Roman"/>
          <w:sz w:val="24"/>
          <w:szCs w:val="24"/>
        </w:rPr>
        <w:t xml:space="preserve"> </w:t>
      </w:r>
    </w:p>
    <w:p w:rsidR="0072380F" w:rsidRPr="00A318E8" w:rsidRDefault="001767AD" w:rsidP="0072380F">
      <w:pPr>
        <w:rPr>
          <w:rFonts w:ascii="Times New Roman" w:hAnsi="Times New Roman" w:cs="Times New Roman"/>
          <w:b/>
          <w:sz w:val="24"/>
          <w:szCs w:val="24"/>
        </w:rPr>
      </w:pPr>
      <w:r w:rsidRPr="00A318E8">
        <w:rPr>
          <w:rFonts w:ascii="Times New Roman" w:hAnsi="Times New Roman" w:cs="Times New Roman"/>
          <w:b/>
          <w:sz w:val="24"/>
          <w:szCs w:val="24"/>
        </w:rPr>
        <w:t>Discussion</w:t>
      </w:r>
    </w:p>
    <w:p w:rsidR="0072380F" w:rsidRPr="00A318E8" w:rsidRDefault="0072380F" w:rsidP="00E91ED5">
      <w:pPr>
        <w:spacing w:after="0" w:line="240" w:lineRule="auto"/>
        <w:jc w:val="both"/>
        <w:rPr>
          <w:rFonts w:ascii="Times New Roman" w:hAnsi="Times New Roman" w:cs="Times New Roman"/>
          <w:sz w:val="24"/>
          <w:szCs w:val="24"/>
        </w:rPr>
      </w:pPr>
      <w:r w:rsidRPr="00A318E8">
        <w:rPr>
          <w:rStyle w:val="Strong"/>
          <w:rFonts w:ascii="Times New Roman" w:hAnsi="Times New Roman" w:cs="Times New Roman"/>
          <w:bCs w:val="0"/>
          <w:sz w:val="24"/>
          <w:szCs w:val="24"/>
        </w:rPr>
        <w:t>Physicochemical Properties (Table 1)</w:t>
      </w:r>
    </w:p>
    <w:p w:rsidR="00EE1C60" w:rsidRPr="00A318E8" w:rsidRDefault="00EE1C60"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Table 1 summarizes the physicochemical properties of the synthesized thiosemicarbazone ligand (L = C₇H₉N₃O</w:t>
      </w:r>
      <w:r w:rsidR="00223C52" w:rsidRPr="00A318E8">
        <w:rPr>
          <w:rFonts w:ascii="Times New Roman" w:eastAsia="Times New Roman" w:hAnsi="Times New Roman" w:cs="Times New Roman"/>
          <w:sz w:val="24"/>
          <w:szCs w:val="24"/>
          <w:lang w:val="en-US"/>
        </w:rPr>
        <w:t>S</w:t>
      </w:r>
      <w:r w:rsidRPr="00A318E8">
        <w:rPr>
          <w:rFonts w:ascii="Times New Roman" w:eastAsia="Times New Roman" w:hAnsi="Times New Roman" w:cs="Times New Roman"/>
          <w:sz w:val="24"/>
          <w:szCs w:val="24"/>
          <w:lang w:val="en-US"/>
        </w:rPr>
        <w:t>) and its corresponding Ni(II), Cu(II), and Zn(II) complexes, providing preliminary but essential evidence for successful ligand formation and subsequent metal coordination.</w:t>
      </w:r>
    </w:p>
    <w:p w:rsidR="00EE1C60" w:rsidRPr="00A318E8" w:rsidRDefault="00EE1C60"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lastRenderedPageBreak/>
        <w:t>The free thiosemicarbazone ligand was isolated as a yellow solid with a sharp melting point of 179 °C and a percentage yield of 73.1%. The well-defined melting point indicates good purity and structural integrity of the ligand, while the satisfactory yield confirms the efficiency of the condensation reaction between 2-acetylfuran and thiosemicarbazide. These observations demonstrate the reliability and economic viability of the adopted synthetic route.</w:t>
      </w:r>
    </w:p>
    <w:p w:rsidR="00EE1C60" w:rsidRPr="00A318E8" w:rsidRDefault="00EE1C60"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Complex formation was accompanied by pronounced changes in colour, reflecting significant modifications in the electronic environment of the ligand upon coordination. The Ni(II) complex appeared light green, the Cu(II) complex brown, and the Zn(II) complex pale yellow</w:t>
      </w:r>
      <w:r w:rsidR="00B31D7E" w:rsidRPr="00A318E8">
        <w:rPr>
          <w:rFonts w:ascii="Times New Roman" w:eastAsia="Times New Roman" w:hAnsi="Times New Roman" w:cs="Times New Roman"/>
          <w:sz w:val="24"/>
          <w:szCs w:val="24"/>
          <w:lang w:val="en-US"/>
        </w:rPr>
        <w:t xml:space="preserve"> </w:t>
      </w:r>
      <w:r w:rsidRPr="00A318E8">
        <w:rPr>
          <w:rFonts w:ascii="Times New Roman" w:eastAsia="Times New Roman" w:hAnsi="Times New Roman" w:cs="Times New Roman"/>
          <w:sz w:val="24"/>
          <w:szCs w:val="24"/>
          <w:lang w:val="en-US"/>
        </w:rPr>
        <w:t>distinctly different from the free ligand. Such colour variations are characteristic of metal–ligand interactions and are commonly attributed to ligand-to-metal charge transfer transitions, ligand field effects, and, in some cases, the presence of coordinated water molecules. Similar observations have been widely reported for thiosemicarbazone-based metal complexes (</w:t>
      </w:r>
      <w:r w:rsidR="00C77572" w:rsidRPr="00A318E8">
        <w:rPr>
          <w:rFonts w:ascii="Times New Roman" w:eastAsia="Times New Roman" w:hAnsi="Times New Roman" w:cs="Times New Roman"/>
          <w:sz w:val="24"/>
          <w:szCs w:val="24"/>
          <w:lang w:val="en-US"/>
        </w:rPr>
        <w:t>9</w:t>
      </w:r>
      <w:r w:rsidR="004A1862" w:rsidRPr="00A318E8">
        <w:rPr>
          <w:rFonts w:ascii="Times New Roman" w:eastAsia="Times New Roman" w:hAnsi="Times New Roman" w:cs="Times New Roman"/>
          <w:sz w:val="24"/>
          <w:szCs w:val="24"/>
          <w:lang w:val="en-US"/>
        </w:rPr>
        <w:t>,20</w:t>
      </w:r>
      <w:r w:rsidR="00C77572" w:rsidRPr="00A318E8">
        <w:rPr>
          <w:rFonts w:ascii="Times New Roman" w:eastAsia="Times New Roman" w:hAnsi="Times New Roman" w:cs="Times New Roman"/>
          <w:sz w:val="24"/>
          <w:szCs w:val="24"/>
          <w:lang w:val="en-US"/>
        </w:rPr>
        <w:t>)</w:t>
      </w:r>
    </w:p>
    <w:p w:rsidR="00EE1C60" w:rsidRPr="00A318E8" w:rsidRDefault="00EE1C60"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Unlike the free ligand, which exhibited a clear melting point, all metal complexes decomposed at elevated temperatures, indicating enhanced thermal stability upon chelation. The decomposition temperatures of the Ni(II), Cu(II), and Zn(II) complexes were recorded at 217, 205, and 210 °C, respectively. The comparatively higher decomposition temperature of the Ni(II) complex suggests a more stable coordination environment, likely arising from stronger metal–ligand interactions. This trend is consistent with earlier reports linking increased thermal stability to effective chelation and the formation of rigid, predominantly octahedral coordination geometries in thiosemicarbazone complexes (</w:t>
      </w:r>
      <w:r w:rsidR="004A1862" w:rsidRPr="00A318E8">
        <w:rPr>
          <w:rFonts w:ascii="Times New Roman" w:eastAsia="Times New Roman" w:hAnsi="Times New Roman" w:cs="Times New Roman"/>
          <w:sz w:val="24"/>
          <w:szCs w:val="24"/>
          <w:lang w:val="en-US"/>
        </w:rPr>
        <w:t>1)</w:t>
      </w:r>
    </w:p>
    <w:p w:rsidR="00EE1C60" w:rsidRPr="00A318E8" w:rsidRDefault="00EE1C60"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The metal complexes were obtained in good yields, ranging from 66.2% to 78.8%, which fall within the typical range reported for thiosemicarbazone metal complexes (</w:t>
      </w:r>
      <w:r w:rsidR="00E709DF" w:rsidRPr="00A318E8">
        <w:rPr>
          <w:rFonts w:ascii="Times New Roman" w:eastAsia="Times New Roman" w:hAnsi="Times New Roman" w:cs="Times New Roman"/>
          <w:sz w:val="24"/>
          <w:szCs w:val="24"/>
          <w:lang w:val="en-US"/>
        </w:rPr>
        <w:t>30</w:t>
      </w:r>
      <w:r w:rsidRPr="00A318E8">
        <w:rPr>
          <w:rFonts w:ascii="Times New Roman" w:eastAsia="Times New Roman" w:hAnsi="Times New Roman" w:cs="Times New Roman"/>
          <w:sz w:val="24"/>
          <w:szCs w:val="24"/>
          <w:lang w:val="en-US"/>
        </w:rPr>
        <w:t xml:space="preserve">). The Ni(II) complex exhibited the highest yield (78.8%), followed by the Cu(II) (71.4%) and Zn(II) </w:t>
      </w:r>
      <w:r w:rsidRPr="00A318E8">
        <w:rPr>
          <w:rFonts w:ascii="Times New Roman" w:eastAsia="Times New Roman" w:hAnsi="Times New Roman" w:cs="Times New Roman"/>
          <w:sz w:val="24"/>
          <w:szCs w:val="24"/>
          <w:lang w:val="en-US"/>
        </w:rPr>
        <w:lastRenderedPageBreak/>
        <w:t>(66.2%) complexes. Variations in yield may be attributed to differences in metal ion reactivity, coordination preferences, and hydration behavior during complexation.</w:t>
      </w:r>
    </w:p>
    <w:p w:rsidR="00886800" w:rsidRPr="00A318E8" w:rsidRDefault="00886800" w:rsidP="005F2D1E">
      <w:pPr>
        <w:pStyle w:val="Heading3"/>
        <w:spacing w:after="0" w:afterAutospacing="0"/>
        <w:jc w:val="both"/>
        <w:rPr>
          <w:sz w:val="24"/>
          <w:szCs w:val="24"/>
        </w:rPr>
      </w:pPr>
      <w:r w:rsidRPr="00A318E8">
        <w:rPr>
          <w:rStyle w:val="Strong"/>
          <w:b/>
          <w:bCs/>
          <w:sz w:val="24"/>
          <w:szCs w:val="24"/>
        </w:rPr>
        <w:t>Molar Conductance Studies (Table 2)</w:t>
      </w:r>
    </w:p>
    <w:p w:rsidR="00886800" w:rsidRPr="00A318E8" w:rsidRDefault="00886800" w:rsidP="00761980">
      <w:pPr>
        <w:pStyle w:val="NormalWeb"/>
        <w:spacing w:after="0" w:afterAutospacing="0" w:line="480" w:lineRule="auto"/>
        <w:jc w:val="both"/>
      </w:pPr>
      <w:r w:rsidRPr="00A318E8">
        <w:t>Table 2 presents the molar conductivity data for the synthesized thiosemicarbazone metal(II) complexes measured in DMSO at a concentration of 1 × 10⁻³ mol dm⁻³. Molar conductance measurements are a valuable diagnostic tool for assessing the electrolytic nature of coordination compounds and for determining whether anions are present as free counterions or are coordinated within the inner coordination sphere.</w:t>
      </w:r>
    </w:p>
    <w:p w:rsidR="00886800" w:rsidRPr="00A318E8" w:rsidRDefault="00886800" w:rsidP="00761980">
      <w:pPr>
        <w:pStyle w:val="NormalWeb"/>
        <w:spacing w:after="0" w:afterAutospacing="0" w:line="480" w:lineRule="auto"/>
        <w:jc w:val="both"/>
      </w:pPr>
      <w:r w:rsidRPr="00A318E8">
        <w:t xml:space="preserve">The observed molar conductance values for the Ni(II), Cu(II), and Zn(II) complexes were 10.3, 13.0, and 5.59 Ω⁻¹ cm² mol⁻¹, respectively. These values are markedly low and fall well within the range expected for </w:t>
      </w:r>
      <w:r w:rsidRPr="00A318E8">
        <w:rPr>
          <w:rStyle w:val="Strong"/>
          <w:b w:val="0"/>
        </w:rPr>
        <w:t>non-electrolytic or weakly electrolytic complexes</w:t>
      </w:r>
      <w:r w:rsidRPr="00A318E8">
        <w:rPr>
          <w:b/>
        </w:rPr>
        <w:t xml:space="preserve"> </w:t>
      </w:r>
      <w:r w:rsidRPr="00A318E8">
        <w:t>in polar aprotic solvents such as DMSO. In contrast, electrolytic complexes typically exhibit molar conductance values greater than 70 Ω⁻¹ cm² mol⁻¹ under simi</w:t>
      </w:r>
      <w:r w:rsidR="00037595" w:rsidRPr="00A318E8">
        <w:t>lar conditions (31)</w:t>
      </w:r>
      <w:r w:rsidRPr="00A318E8">
        <w:t>. The low conductance values obtained in this study therefore indicate that the complexes do not undergo ionic dissociation in solution.</w:t>
      </w:r>
    </w:p>
    <w:p w:rsidR="00886800" w:rsidRPr="00A318E8" w:rsidRDefault="00886800" w:rsidP="00761980">
      <w:pPr>
        <w:pStyle w:val="NormalWeb"/>
        <w:spacing w:after="0" w:afterAutospacing="0" w:line="480" w:lineRule="auto"/>
        <w:jc w:val="both"/>
      </w:pPr>
      <w:r w:rsidRPr="00A318E8">
        <w:t>This behavior strongly suggests that the chloride ions are coordinated directly to the metal centers and remain within the inner coordination sphere rather than existing as free ions in solution. Consequently, the complexes are best described as neutral species of the type [M(L)₂Cl₂]·nH₂O. The slightly higher molar conductance observed for the Cu(II) complex compared to the Ni(II) and Zn(II) analogues may be attributed to differences in solvation effects, metal–ligand bond polarity, or partial ion–dipole interactions in solution; however, these variations do not alter the overall non-electrolytic nature of the complexes.</w:t>
      </w:r>
    </w:p>
    <w:p w:rsidR="00886800" w:rsidRPr="00A318E8" w:rsidRDefault="00886800" w:rsidP="00761980">
      <w:pPr>
        <w:pStyle w:val="NormalWeb"/>
        <w:spacing w:after="0" w:afterAutospacing="0" w:line="480" w:lineRule="auto"/>
        <w:jc w:val="both"/>
      </w:pPr>
      <w:r w:rsidRPr="00A318E8">
        <w:lastRenderedPageBreak/>
        <w:t>The conductivity behavior observed here is consistent with earlier reports on thiosemicarbazone and Schiff base metal complexes, where low molar conductance values have been correlated with inner-sphere chloride coordination and predominantly octahedral coordin</w:t>
      </w:r>
      <w:r w:rsidR="00986AEC" w:rsidRPr="00A318E8">
        <w:t>ation geometries [1, 30]</w:t>
      </w:r>
      <w:r w:rsidRPr="00A318E8">
        <w:t xml:space="preserve"> Thus, the molar conductance data provide strong complementary support for the proposed stoichiometry and coordination mode, in agreement with conclusions drawn from elemental analysis and s</w:t>
      </w:r>
      <w:r w:rsidR="006B3C45" w:rsidRPr="00A318E8">
        <w:t xml:space="preserve">pectroscopic characterization. </w:t>
      </w:r>
    </w:p>
    <w:p w:rsidR="00893204" w:rsidRPr="00A318E8" w:rsidRDefault="00893204" w:rsidP="005F2D1E">
      <w:pPr>
        <w:pStyle w:val="Heading3"/>
        <w:spacing w:after="0" w:afterAutospacing="0"/>
        <w:jc w:val="both"/>
        <w:rPr>
          <w:sz w:val="24"/>
          <w:szCs w:val="24"/>
        </w:rPr>
      </w:pPr>
      <w:r w:rsidRPr="00A318E8">
        <w:rPr>
          <w:rStyle w:val="Strong"/>
          <w:b/>
          <w:bCs/>
          <w:sz w:val="24"/>
          <w:szCs w:val="24"/>
        </w:rPr>
        <w:t>Magnetic Susceptibility Studies (Table 3)</w:t>
      </w:r>
    </w:p>
    <w:p w:rsidR="00893204" w:rsidRPr="00A318E8" w:rsidRDefault="00893204" w:rsidP="00761980">
      <w:pPr>
        <w:pStyle w:val="NormalWeb"/>
        <w:spacing w:after="0" w:afterAutospacing="0" w:line="480" w:lineRule="auto"/>
        <w:jc w:val="both"/>
      </w:pPr>
      <w:r w:rsidRPr="00A318E8">
        <w:t>Table 3 presents the magnetic susceptibility parameters of the synthesized thiosemicarbazone metal(II) complexes, including gram magnetic susceptibility (χg), molar magnetic susceptibility (χm</w:t>
      </w:r>
      <w:r w:rsidR="005F2D1E">
        <w:t>), effective magnetic moment (µ</w:t>
      </w:r>
      <w:r w:rsidRPr="00A318E8">
        <w:t>eff), number of unpaired electrons (n), and magnetic behavior. Magnetic susceptibility measurements are particularly valuable in elucidating the electronic configuration, spin state, and coordination geometry of transition metal complexes, and they serve as a key complement to spectroscopic and analytical data.</w:t>
      </w:r>
    </w:p>
    <w:p w:rsidR="00893204" w:rsidRPr="00A318E8" w:rsidRDefault="00893204" w:rsidP="00761980">
      <w:pPr>
        <w:pStyle w:val="NormalWeb"/>
        <w:spacing w:after="0" w:afterAutospacing="0" w:line="480" w:lineRule="auto"/>
        <w:jc w:val="both"/>
      </w:pPr>
      <w:r w:rsidRPr="00A318E8">
        <w:t>The Ni(II) complex exhibits a positive molar magnetic susceptibility (χm = 4.352 × 10⁻³ erg G⁻² mol⁻¹) with an effective magnetic moment (µ_eff) of 3.22 B.M., corresponding to two unpaired electrons (n = 2). This value is characteristic of high-spin octahedral Ni(II) complexes with a d⁸ electronic configuration and lies well within the reported range for similar thiosemicarbazone</w:t>
      </w:r>
      <w:r w:rsidR="00A56F04">
        <w:t>-</w:t>
      </w:r>
      <w:r w:rsidRPr="00A318E8">
        <w:t>Ni</w:t>
      </w:r>
      <w:r w:rsidR="00986AEC" w:rsidRPr="00A318E8">
        <w:t>(II) systems [30]</w:t>
      </w:r>
      <w:r w:rsidRPr="00A318E8">
        <w:t>. The observed paramagnetic behavior therefore strongly supports an octahedral coordination environment around the Ni(II) ion, arising from coordination by two bidentate thiosemicarbazone ligands and two chloride ions.</w:t>
      </w:r>
    </w:p>
    <w:p w:rsidR="00893204" w:rsidRPr="00A318E8" w:rsidRDefault="00893204" w:rsidP="00761980">
      <w:pPr>
        <w:pStyle w:val="NormalWeb"/>
        <w:spacing w:after="0" w:afterAutospacing="0" w:line="480" w:lineRule="auto"/>
        <w:jc w:val="both"/>
      </w:pPr>
      <w:r w:rsidRPr="00A318E8">
        <w:t xml:space="preserve">The Cu(II) complex displays a molar magnetic susceptibility of 1.868 × 10⁻³ erg G⁻² mol⁻¹ and an effective magnetic moment of 2.11 B.M., consistent with the presence of one unpaired electron (n = 1) in a d⁹ electronic configuration. This µ_eff value is typical for Cu(II) complexes and confirms their paramagnetic nature. The slightly elevated magnetic moment relative to the </w:t>
      </w:r>
      <w:r w:rsidRPr="00A318E8">
        <w:lastRenderedPageBreak/>
        <w:t>spin-only value reflects spin–orbit coupling and supports a Jahn</w:t>
      </w:r>
      <w:r w:rsidR="00A56F04">
        <w:t>-</w:t>
      </w:r>
      <w:r w:rsidRPr="00A318E8">
        <w:t>Teller distorted octahedral geometry, a structural feature commonly observed in Cu(II) Schiff base and thiosemicarbaz</w:t>
      </w:r>
      <w:r w:rsidR="00986AEC" w:rsidRPr="00A318E8">
        <w:t xml:space="preserve">one complexes [31]. </w:t>
      </w:r>
      <w:r w:rsidRPr="00A318E8">
        <w:t>Such distortion arises from axial elongation, leading to deviation from ideal octahedral symmetry.</w:t>
      </w:r>
    </w:p>
    <w:p w:rsidR="00893204" w:rsidRPr="00A318E8" w:rsidRDefault="00893204" w:rsidP="00761980">
      <w:pPr>
        <w:pStyle w:val="NormalWeb"/>
        <w:spacing w:after="0" w:afterAutospacing="0" w:line="480" w:lineRule="auto"/>
        <w:jc w:val="both"/>
      </w:pPr>
      <w:r w:rsidRPr="00A318E8">
        <w:t>In contrast, the Zn(II) complex exhibits negative values of both χg and χm, indicating diamagnetic behavior. The effective magnetic moment is essentially zero, consistent with a d¹⁰ electronic configuration and the complete absence of unpaired electrons (n = 0). This result confirms the +2 oxidation state of zinc and supports the formation of a closed-shell complex. Although Zn(II) does not contribute to magnetic properties, the observed diamagnetism is fully consistent with an octahedral coordination environment involving neutral donor atoms and coordinated chloride ions.</w:t>
      </w:r>
    </w:p>
    <w:p w:rsidR="006B3C45" w:rsidRPr="00A318E8" w:rsidRDefault="00893204" w:rsidP="00761980">
      <w:pPr>
        <w:pStyle w:val="NormalWeb"/>
        <w:spacing w:after="0" w:afterAutospacing="0" w:line="480" w:lineRule="auto"/>
        <w:jc w:val="both"/>
        <w:rPr>
          <w:rStyle w:val="Strong"/>
          <w:b w:val="0"/>
          <w:bCs w:val="0"/>
        </w:rPr>
      </w:pPr>
      <w:r w:rsidRPr="00A318E8">
        <w:t>Overall, the magnetic susceptibility data clearly differentiate the paramagnetic Ni(II) and Cu(II) complexes from the diamagnetic Zn(II) analogue. The experimentally determined µ_eff values are in excellent agreement with the expected electronic configurations of the respective metal ions and provide strong evidence in favor of octahedral coordination geometries for all complexes. These findings are fully consistent with the results obtained from molar conductance, infrared, UV–visible spectroscopy, and elemental analysis, thereby reinforcing the proposed structural formulations of the synthesized thiosem</w:t>
      </w:r>
      <w:r w:rsidR="006B3C45" w:rsidRPr="00A318E8">
        <w:t>icarbazone metal(II) complexes.</w:t>
      </w:r>
    </w:p>
    <w:p w:rsidR="0072380F" w:rsidRPr="00A318E8" w:rsidRDefault="0072380F" w:rsidP="005F2D1E">
      <w:pPr>
        <w:pStyle w:val="NormalWeb"/>
        <w:spacing w:after="0" w:afterAutospacing="0"/>
        <w:jc w:val="both"/>
      </w:pPr>
      <w:r w:rsidRPr="00A318E8">
        <w:rPr>
          <w:rStyle w:val="Strong"/>
          <w:bCs w:val="0"/>
        </w:rPr>
        <w:t>Solubility Studies (Table 4)</w:t>
      </w:r>
    </w:p>
    <w:p w:rsidR="0072380F" w:rsidRPr="00A318E8" w:rsidRDefault="0072380F" w:rsidP="005F2D1E">
      <w:pPr>
        <w:pStyle w:val="NormalWeb"/>
        <w:spacing w:after="0" w:afterAutospacing="0" w:line="480" w:lineRule="auto"/>
        <w:jc w:val="both"/>
      </w:pPr>
      <w:r w:rsidRPr="00A318E8">
        <w:t>The thiosemicarbazone ligand derived from 2-acetylfuran is soluble in DMF and DMSO, slightly soluble in methanol and ethanol, and insoluble in water, n-hexane, petroleum ether, and diethyl ether. This behaviour reflects the non-ionic nature of the ligand and its preference for polar aprotic solvents due to strong dipole–dipole interac</w:t>
      </w:r>
      <w:r w:rsidR="00986AEC" w:rsidRPr="00A318E8">
        <w:t>tions [29]</w:t>
      </w:r>
      <w:r w:rsidRPr="00A318E8">
        <w:t>.</w:t>
      </w:r>
    </w:p>
    <w:p w:rsidR="00597D93" w:rsidRPr="00A318E8" w:rsidRDefault="0072380F" w:rsidP="00761980">
      <w:pPr>
        <w:pStyle w:val="NormalWeb"/>
        <w:spacing w:after="0" w:afterAutospacing="0" w:line="480" w:lineRule="auto"/>
        <w:jc w:val="both"/>
      </w:pPr>
      <w:r w:rsidRPr="00A318E8">
        <w:lastRenderedPageBreak/>
        <w:t>The metal(II) complexes exhibit similar solubility trends, remaining soluble in DMF and DMSO while showing limited solubility in non-polar solvents. These observations are consistent with reported solubility patterns of thiosemicarbazone</w:t>
      </w:r>
      <w:r w:rsidR="00F17ECB">
        <w:t xml:space="preserve"> metal complexes [39].</w:t>
      </w:r>
    </w:p>
    <w:p w:rsidR="0072380F" w:rsidRPr="00A318E8" w:rsidRDefault="0072380F" w:rsidP="005F2D1E">
      <w:pPr>
        <w:pStyle w:val="NormalWeb"/>
        <w:spacing w:after="0" w:afterAutospacing="0"/>
        <w:jc w:val="both"/>
        <w:rPr>
          <w:rStyle w:val="Strong"/>
          <w:bCs w:val="0"/>
        </w:rPr>
      </w:pPr>
      <w:r w:rsidRPr="00A318E8">
        <w:rPr>
          <w:rStyle w:val="Strong"/>
          <w:bCs w:val="0"/>
        </w:rPr>
        <w:t>Infrared Spectral Analysis (Table 5)</w:t>
      </w:r>
    </w:p>
    <w:p w:rsidR="00BF52C9" w:rsidRPr="00A318E8" w:rsidRDefault="00BF52C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The free ligand displays a characteristic ν(C=N) stretching band at 1615 cm⁻¹, confirming the formation of the azomethine linkage via condensation of 2-acetylfuran with thiosemicarbazide. The thione ν(C=S) band appears at 1253 cm⁻¹, while the ν(C</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vibration is observed at 829 cm⁻¹. No metal–ligand vibrations are present in the ligand spectrum, as expected.</w:t>
      </w:r>
    </w:p>
    <w:p w:rsidR="00BF52C9" w:rsidRPr="00A318E8" w:rsidRDefault="00BF52C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Coordination to the metal centers results in notable shifts of these key bands, indicative of metal–ligand interactions. The ν(C=N) band shifts to 1605 cm⁻¹ (Ni), 1603 cm⁻¹ (Cu), and 1588 cm⁻¹ (Zn), consistent with azomethine nitrogen involvement in metal binding. Similarly, the ν(C=S) band shifts to 1227, 1173, and 1274 cm⁻¹ for Ni(II), Cu(II), and Zn(II), respectively, confirming coordination through the thiocarbonyl sulfur atom. The ν(C–S) vibrations also shift slightly (704–720 cm⁻¹), reflecting delocalization of electron density upon chelation.</w:t>
      </w:r>
    </w:p>
    <w:p w:rsidR="00BF52C9" w:rsidRPr="00A318E8" w:rsidRDefault="00BF52C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The broad ν(O</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H) bands observed at 3332</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3450 cm⁻¹ in the complexes correspond to coordinated or lattice water molecules, absent in the free ligand, indicating the presence of water molecules within the coordination sphere. Additionally, new absorption bands appear at 566–581 cm⁻¹ (M</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S), 406</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418 cm⁻¹ (M</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N), and 336</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351 cm⁻¹ (M</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Cl), providing direct evidence of metal</w:t>
      </w:r>
      <w:r w:rsidR="00A56F04">
        <w:rPr>
          <w:rFonts w:ascii="Times New Roman" w:eastAsia="Times New Roman" w:hAnsi="Times New Roman" w:cs="Times New Roman"/>
          <w:sz w:val="24"/>
          <w:szCs w:val="24"/>
          <w:lang w:val="en-US"/>
        </w:rPr>
        <w:t>-l</w:t>
      </w:r>
      <w:r w:rsidRPr="00A318E8">
        <w:rPr>
          <w:rFonts w:ascii="Times New Roman" w:eastAsia="Times New Roman" w:hAnsi="Times New Roman" w:cs="Times New Roman"/>
          <w:sz w:val="24"/>
          <w:szCs w:val="24"/>
          <w:lang w:val="en-US"/>
        </w:rPr>
        <w:t>igand bonding. These bands are characteristic of inner-sphere chloride coordination and octahedral geometry around the metal centers.</w:t>
      </w:r>
    </w:p>
    <w:p w:rsidR="00BF52C9" w:rsidRPr="00A318E8" w:rsidRDefault="00BF52C9" w:rsidP="00B31E00">
      <w:pPr>
        <w:spacing w:before="100" w:beforeAutospacing="1" w:after="0" w:line="480" w:lineRule="auto"/>
        <w:jc w:val="both"/>
        <w:rPr>
          <w:rFonts w:ascii="Times New Roman" w:eastAsia="Times New Roman" w:hAnsi="Times New Roman" w:cs="Times New Roman"/>
          <w:b/>
          <w:sz w:val="24"/>
          <w:szCs w:val="24"/>
          <w:lang w:val="en-US"/>
        </w:rPr>
      </w:pPr>
      <w:r w:rsidRPr="00A318E8">
        <w:rPr>
          <w:rFonts w:ascii="Times New Roman" w:eastAsia="Times New Roman" w:hAnsi="Times New Roman" w:cs="Times New Roman"/>
          <w:sz w:val="24"/>
          <w:szCs w:val="24"/>
          <w:lang w:val="en-US"/>
        </w:rPr>
        <w:t xml:space="preserve">Overall, the IR spectral data confirm that the thiosemicarbazone ligand acts as a bidentate ligand, coordinating through the azomethine nitrogen and thione sulfur atoms to form stable octahedral Ni(II), Cu(II), and Zn(II) complexes. The observed band shifts, combined with the </w:t>
      </w:r>
      <w:r w:rsidRPr="00A318E8">
        <w:rPr>
          <w:rFonts w:ascii="Times New Roman" w:eastAsia="Times New Roman" w:hAnsi="Times New Roman" w:cs="Times New Roman"/>
          <w:sz w:val="24"/>
          <w:szCs w:val="24"/>
          <w:lang w:val="en-US"/>
        </w:rPr>
        <w:lastRenderedPageBreak/>
        <w:t>appearance of metal</w:t>
      </w:r>
      <w:r w:rsidR="00A56F04">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ligand vibrations, corroborate the structural assignments derived from elemental analysis, molar conductance, and magnetic</w:t>
      </w:r>
      <w:r w:rsidR="00C874AF" w:rsidRPr="00A318E8">
        <w:rPr>
          <w:rFonts w:ascii="Times New Roman" w:eastAsia="Times New Roman" w:hAnsi="Times New Roman" w:cs="Times New Roman"/>
          <w:sz w:val="24"/>
          <w:szCs w:val="24"/>
          <w:lang w:val="en-US"/>
        </w:rPr>
        <w:t xml:space="preserve"> susceptibility studies [30</w:t>
      </w:r>
      <w:r w:rsidR="00F12631" w:rsidRPr="00A318E8">
        <w:rPr>
          <w:rFonts w:ascii="Times New Roman" w:eastAsia="Times New Roman" w:hAnsi="Times New Roman" w:cs="Times New Roman"/>
          <w:sz w:val="24"/>
          <w:szCs w:val="24"/>
          <w:lang w:val="en-US"/>
        </w:rPr>
        <w:t>, 31,</w:t>
      </w:r>
      <w:r w:rsidR="00C874AF" w:rsidRPr="00A318E8">
        <w:rPr>
          <w:rFonts w:ascii="Times New Roman" w:eastAsia="Times New Roman" w:hAnsi="Times New Roman" w:cs="Times New Roman"/>
          <w:sz w:val="24"/>
          <w:szCs w:val="24"/>
          <w:lang w:val="en-US"/>
        </w:rPr>
        <w:t>]</w:t>
      </w:r>
      <w:r w:rsidR="00B31E00" w:rsidRPr="00A318E8">
        <w:rPr>
          <w:rFonts w:ascii="Times New Roman" w:eastAsia="Times New Roman" w:hAnsi="Times New Roman" w:cs="Times New Roman"/>
          <w:sz w:val="24"/>
          <w:szCs w:val="24"/>
          <w:lang w:val="en-US"/>
        </w:rPr>
        <w:t xml:space="preserve"> </w:t>
      </w:r>
    </w:p>
    <w:p w:rsidR="0072380F" w:rsidRPr="00A318E8" w:rsidRDefault="0072380F" w:rsidP="005F2D1E">
      <w:pPr>
        <w:pStyle w:val="NormalWeb"/>
        <w:spacing w:after="0" w:afterAutospacing="0"/>
        <w:jc w:val="both"/>
        <w:rPr>
          <w:rStyle w:val="Strong"/>
          <w:bCs w:val="0"/>
        </w:rPr>
      </w:pPr>
      <w:r w:rsidRPr="00A318E8">
        <w:rPr>
          <w:rStyle w:val="Strong"/>
          <w:bCs w:val="0"/>
        </w:rPr>
        <w:t>UV</w:t>
      </w:r>
      <w:r w:rsidR="00EF4A38">
        <w:rPr>
          <w:rStyle w:val="Strong"/>
          <w:bCs w:val="0"/>
        </w:rPr>
        <w:t>-</w:t>
      </w:r>
      <w:r w:rsidRPr="00A318E8">
        <w:rPr>
          <w:rStyle w:val="Strong"/>
          <w:bCs w:val="0"/>
        </w:rPr>
        <w:t>Visible Spectral Studies (Table 6)</w:t>
      </w:r>
    </w:p>
    <w:p w:rsidR="00BF52C9" w:rsidRPr="00A318E8" w:rsidRDefault="00BF52C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The electronic spectra of the free thiosemicarbazone ligand (L = C₇H₉N₃O</w:t>
      </w:r>
      <w:r w:rsidR="00223C52" w:rsidRPr="00A318E8">
        <w:rPr>
          <w:rFonts w:ascii="Times New Roman" w:eastAsia="Times New Roman" w:hAnsi="Times New Roman" w:cs="Times New Roman"/>
          <w:sz w:val="24"/>
          <w:szCs w:val="24"/>
          <w:lang w:val="en-US"/>
        </w:rPr>
        <w:t>S</w:t>
      </w:r>
      <w:r w:rsidRPr="00A318E8">
        <w:rPr>
          <w:rFonts w:ascii="Times New Roman" w:eastAsia="Times New Roman" w:hAnsi="Times New Roman" w:cs="Times New Roman"/>
          <w:sz w:val="24"/>
          <w:szCs w:val="24"/>
          <w:lang w:val="en-US"/>
        </w:rPr>
        <w:t>) and its Ni(II), Cu(II), and Zn(II) complexes were recorded to examine the electronic transitions and to provide further evidence of metal–ligand coordination. The ligand exhibits characteristic π→π* transitions at 242 nm (C=S) and 250 nm (C=N) and n→π* transitions at 329 nm (C=S) and 349 nm (C=N), confirming the presence of conjugated azomethine and thione chromophores formed via condensation of 2-acetylfuran with thiosemica</w:t>
      </w:r>
      <w:r w:rsidR="00F12631" w:rsidRPr="00A318E8">
        <w:rPr>
          <w:rFonts w:ascii="Times New Roman" w:eastAsia="Times New Roman" w:hAnsi="Times New Roman" w:cs="Times New Roman"/>
          <w:sz w:val="24"/>
          <w:szCs w:val="24"/>
          <w:lang w:val="en-US"/>
        </w:rPr>
        <w:t>rbazide [14].</w:t>
      </w:r>
    </w:p>
    <w:p w:rsidR="00BF52C9" w:rsidRPr="00A318E8" w:rsidRDefault="00BF52C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Upon complexation, all metal complexes displayed significant shifts in both π→π* and n→π* bands. For the Ni(II) complex, π→π* transitions shifted to 234 nm (C=S) and 262 nm (C=N), with n→π* bands appearing at 338 nm (C=S) and 353 nm (C=N). The Cu(II) complex exhibited π→π* bands at 239 and 262 nm and n→π* bands at 339 and 356 nm, whereas the Zn(II) complex showed π→π* absorptions at 248 and 263 nm and n→π* transitions at 338 and 348 nm. These spectral shifts indicate coordination of the azomethine nitrogen and thione sulfur atoms to the respective metal centers, resulting in ligand-to-metal charge transfer (LMCT) and modification of the electronic delocalization within the chelate rings.</w:t>
      </w:r>
    </w:p>
    <w:p w:rsidR="00223C52" w:rsidRDefault="00BF52C9" w:rsidP="003071EE">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 xml:space="preserve">A notable decrease in absorbance intensity for the Ni(II) and Cu(II) complexes in the π→π* transitions of C=S suggests significant involvement of the thione sulfur in metal binding. In contrast, the Zn(II) complex retains higher absorbances, consistent with its diamagnetic nature and weaker ligand field effects. </w:t>
      </w:r>
      <w:r w:rsidR="00223C52">
        <w:rPr>
          <w:rFonts w:ascii="Times New Roman" w:eastAsia="Times New Roman" w:hAnsi="Times New Roman" w:cs="Times New Roman"/>
          <w:sz w:val="24"/>
          <w:szCs w:val="24"/>
          <w:lang w:val="en-US"/>
        </w:rPr>
        <w:t xml:space="preserve">The absence of well-resolved d-d transitions in the visible region may be attributed to low intensity and overlap with charge- transfer bands which is common in thiosemicarbazone metal complexes. </w:t>
      </w:r>
      <w:r w:rsidRPr="00A318E8">
        <w:rPr>
          <w:rFonts w:ascii="Times New Roman" w:eastAsia="Times New Roman" w:hAnsi="Times New Roman" w:cs="Times New Roman"/>
          <w:sz w:val="24"/>
          <w:szCs w:val="24"/>
          <w:lang w:val="en-US"/>
        </w:rPr>
        <w:t xml:space="preserve">The observed bathochromic and </w:t>
      </w:r>
      <w:r w:rsidRPr="00A318E8">
        <w:rPr>
          <w:rFonts w:ascii="Times New Roman" w:eastAsia="Times New Roman" w:hAnsi="Times New Roman" w:cs="Times New Roman"/>
          <w:sz w:val="24"/>
          <w:szCs w:val="24"/>
          <w:lang w:val="en-US"/>
        </w:rPr>
        <w:lastRenderedPageBreak/>
        <w:t xml:space="preserve">hypsochromic shifts in n→π* transitions further support the formation </w:t>
      </w:r>
      <w:r w:rsidR="00223C52">
        <w:rPr>
          <w:rFonts w:ascii="Times New Roman" w:eastAsia="Times New Roman" w:hAnsi="Times New Roman" w:cs="Times New Roman"/>
          <w:sz w:val="24"/>
          <w:szCs w:val="24"/>
          <w:lang w:val="en-US"/>
        </w:rPr>
        <w:t>of stable octahedral complexes.</w:t>
      </w:r>
    </w:p>
    <w:p w:rsidR="00BF52C9" w:rsidRPr="00A318E8" w:rsidRDefault="00BF52C9" w:rsidP="003071EE">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Overall, the UV</w:t>
      </w:r>
      <w:r w:rsidR="00223C52">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Vis spectral data, when interpreted alongside IR, magnetic susceptibility, and molar conductance measurements, provide compelling evidence for bidentate coordination of the thiosemicarbazone ligand through azomethine nitrogen and thione sulfur atoms. These electronic transitions not only confirm complex formation but also highlight the influence of the metal ions on the ligand’s electronic environment, which may be linked to the enhanced biological activity of the complex</w:t>
      </w:r>
      <w:r w:rsidR="003071EE" w:rsidRPr="00A318E8">
        <w:rPr>
          <w:rFonts w:ascii="Times New Roman" w:eastAsia="Times New Roman" w:hAnsi="Times New Roman" w:cs="Times New Roman"/>
          <w:sz w:val="24"/>
          <w:szCs w:val="24"/>
          <w:lang w:val="en-US"/>
        </w:rPr>
        <w:t>es relative to the free ligand.</w:t>
      </w:r>
    </w:p>
    <w:p w:rsidR="0072380F" w:rsidRPr="00A318E8" w:rsidRDefault="0072380F" w:rsidP="005F2D1E">
      <w:pPr>
        <w:pStyle w:val="NormalWeb"/>
        <w:spacing w:after="0" w:afterAutospacing="0"/>
        <w:jc w:val="both"/>
      </w:pPr>
      <w:r w:rsidRPr="00A318E8">
        <w:rPr>
          <w:rStyle w:val="Strong"/>
          <w:bCs w:val="0"/>
        </w:rPr>
        <w:t>Elemental and Metal Content Analysis (Tables 7 and 8)</w:t>
      </w:r>
    </w:p>
    <w:p w:rsidR="00977A69" w:rsidRPr="00A318E8" w:rsidRDefault="00977A6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Elemental analysis confirmed the composition and purity of the thiosemicarbazone ligand (L = C₇H₉N₃SO) and its Ni(II), Cu(II), and Zn(II) complexes. The free ligand showed calculated C, H, N, and S values of 45.90%, 4.92%, 22.95%, and 17.49%, closely matching the observed values of 45.85%, 4.89%, 22.44%, and 16.21%, confirming successful synthesis.</w:t>
      </w:r>
    </w:p>
    <w:p w:rsidR="00977A69" w:rsidRPr="00A318E8" w:rsidRDefault="00977A6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 xml:space="preserve">The metal complexes also exhibited good agreement with calculated values, supporting the proposed stoichiometries of [M(L)₂Cl₂]·nH₂O. Minor deviations in </w:t>
      </w:r>
      <w:r w:rsidR="00FE1C50" w:rsidRPr="00A318E8">
        <w:rPr>
          <w:rFonts w:ascii="Times New Roman" w:eastAsia="Times New Roman" w:hAnsi="Times New Roman" w:cs="Times New Roman"/>
          <w:sz w:val="24"/>
          <w:szCs w:val="24"/>
          <w:lang w:val="en-US"/>
        </w:rPr>
        <w:t>C</w:t>
      </w:r>
      <w:r w:rsidR="00FE1C50">
        <w:rPr>
          <w:rFonts w:ascii="Times New Roman" w:eastAsia="Times New Roman" w:hAnsi="Times New Roman" w:cs="Times New Roman"/>
          <w:sz w:val="24"/>
          <w:szCs w:val="24"/>
          <w:lang w:val="en-US"/>
        </w:rPr>
        <w:t>,</w:t>
      </w:r>
      <w:r w:rsidR="00FE1C50" w:rsidRPr="00A318E8">
        <w:rPr>
          <w:rFonts w:ascii="Times New Roman" w:eastAsia="Times New Roman" w:hAnsi="Times New Roman" w:cs="Times New Roman"/>
          <w:sz w:val="24"/>
          <w:szCs w:val="24"/>
          <w:lang w:val="en-US"/>
        </w:rPr>
        <w:t xml:space="preserve"> </w:t>
      </w:r>
      <w:r w:rsidR="00FE1C50">
        <w:rPr>
          <w:rFonts w:ascii="Times New Roman" w:eastAsia="Times New Roman" w:hAnsi="Times New Roman" w:cs="Times New Roman"/>
          <w:sz w:val="24"/>
          <w:szCs w:val="24"/>
          <w:lang w:val="en-US"/>
        </w:rPr>
        <w:t xml:space="preserve">H, N </w:t>
      </w:r>
      <w:r w:rsidRPr="00A318E8">
        <w:rPr>
          <w:rFonts w:ascii="Times New Roman" w:eastAsia="Times New Roman" w:hAnsi="Times New Roman" w:cs="Times New Roman"/>
          <w:sz w:val="24"/>
          <w:szCs w:val="24"/>
          <w:lang w:val="en-US"/>
        </w:rPr>
        <w:t xml:space="preserve">or </w:t>
      </w:r>
      <w:r w:rsidR="00FE1C50">
        <w:rPr>
          <w:rFonts w:ascii="Times New Roman" w:eastAsia="Times New Roman" w:hAnsi="Times New Roman" w:cs="Times New Roman"/>
          <w:sz w:val="24"/>
          <w:szCs w:val="24"/>
          <w:lang w:val="en-US"/>
        </w:rPr>
        <w:t xml:space="preserve">S </w:t>
      </w:r>
      <w:r w:rsidRPr="00A318E8">
        <w:rPr>
          <w:rFonts w:ascii="Times New Roman" w:eastAsia="Times New Roman" w:hAnsi="Times New Roman" w:cs="Times New Roman"/>
          <w:sz w:val="24"/>
          <w:szCs w:val="24"/>
          <w:lang w:val="en-US"/>
        </w:rPr>
        <w:t>are likely due to partial loss of coordinated water or experimental errors, but they do not comprom</w:t>
      </w:r>
      <w:r w:rsidR="00223C52">
        <w:rPr>
          <w:rFonts w:ascii="Times New Roman" w:eastAsia="Times New Roman" w:hAnsi="Times New Roman" w:cs="Times New Roman"/>
          <w:sz w:val="24"/>
          <w:szCs w:val="24"/>
          <w:lang w:val="en-US"/>
        </w:rPr>
        <w:t xml:space="preserve">ise the structural assignments. </w:t>
      </w:r>
      <w:r w:rsidRPr="00A318E8">
        <w:rPr>
          <w:rFonts w:ascii="Times New Roman" w:eastAsia="Times New Roman" w:hAnsi="Times New Roman" w:cs="Times New Roman"/>
          <w:sz w:val="24"/>
          <w:szCs w:val="24"/>
          <w:lang w:val="en-US"/>
        </w:rPr>
        <w:t>Overall, the elemental analysis corroborates the formation of stable octahedral Ni(II), Cu(II), and Zn(II) complexes and complements the IR, UV</w:t>
      </w:r>
      <w:r w:rsidR="00223C52">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Vis, magnetic, and conductivity data.</w:t>
      </w:r>
    </w:p>
    <w:p w:rsidR="00977A69" w:rsidRPr="00A318E8" w:rsidRDefault="00977A69" w:rsidP="00761980">
      <w:pPr>
        <w:pStyle w:val="NormalWeb"/>
        <w:spacing w:after="0" w:afterAutospacing="0" w:line="480" w:lineRule="auto"/>
        <w:jc w:val="both"/>
        <w:rPr>
          <w:lang w:val="en-US" w:eastAsia="en-US"/>
        </w:rPr>
      </w:pPr>
      <w:r w:rsidRPr="00A318E8">
        <w:rPr>
          <w:lang w:val="en-US" w:eastAsia="en-US"/>
        </w:rPr>
        <w:t>The metal content of the synthesized thiosemicarbazone complexes was quantified using atomic absorption spectroscopy (AAS). The experimentally observed percentages of Ni(II), Cu(II), and Zn(II) were 9.99%, 10.75%, and 11.09%, respectively, slightly lower than the calculated values of 11.42%, 12.25%, and 12.13%.</w:t>
      </w:r>
    </w:p>
    <w:p w:rsidR="00977A69" w:rsidRPr="00A318E8" w:rsidRDefault="00977A69" w:rsidP="0076198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lastRenderedPageBreak/>
        <w:t>These small deviations are common in AAS measurements and may arise from minor sample handling losses or incomplete digestion. Nevertheless, the results closely match the theoretical values, confirming the presence of the expected metal ions and supporting the proposed stoichiometry of [M(L)₂Cl₂]·nH₂O for all complexes.</w:t>
      </w:r>
    </w:p>
    <w:p w:rsidR="0072380F" w:rsidRDefault="00977A69" w:rsidP="00B31E00">
      <w:pPr>
        <w:spacing w:before="100" w:beforeAutospacing="1" w:after="0" w:line="480" w:lineRule="auto"/>
        <w:jc w:val="both"/>
        <w:rPr>
          <w:rFonts w:ascii="Times New Roman" w:eastAsia="Times New Roman" w:hAnsi="Times New Roman" w:cs="Times New Roman"/>
          <w:sz w:val="24"/>
          <w:szCs w:val="24"/>
          <w:lang w:val="en-US"/>
        </w:rPr>
      </w:pPr>
      <w:r w:rsidRPr="00A318E8">
        <w:rPr>
          <w:rFonts w:ascii="Times New Roman" w:eastAsia="Times New Roman" w:hAnsi="Times New Roman" w:cs="Times New Roman"/>
          <w:sz w:val="24"/>
          <w:szCs w:val="24"/>
          <w:lang w:val="en-US"/>
        </w:rPr>
        <w:t>Overall, the AAS data validate the successful incorporation of Ni(II), Cu(II), and Zn(II) into the thiosemicarbazone framework, complementing the elemental analysis, IR, UV</w:t>
      </w:r>
      <w:r w:rsidR="005F2D1E">
        <w:rPr>
          <w:rFonts w:ascii="Times New Roman" w:eastAsia="Times New Roman" w:hAnsi="Times New Roman" w:cs="Times New Roman"/>
          <w:sz w:val="24"/>
          <w:szCs w:val="24"/>
          <w:lang w:val="en-US"/>
        </w:rPr>
        <w:t>-</w:t>
      </w:r>
      <w:r w:rsidRPr="00A318E8">
        <w:rPr>
          <w:rFonts w:ascii="Times New Roman" w:eastAsia="Times New Roman" w:hAnsi="Times New Roman" w:cs="Times New Roman"/>
          <w:sz w:val="24"/>
          <w:szCs w:val="24"/>
          <w:lang w:val="en-US"/>
        </w:rPr>
        <w:t>Vis, and magnetic studies.</w:t>
      </w:r>
    </w:p>
    <w:p w:rsidR="00482349" w:rsidRDefault="00482349" w:rsidP="00482349">
      <w:pPr>
        <w:spacing w:before="100" w:beforeAutospacing="1" w:after="0" w:line="240" w:lineRule="auto"/>
        <w:jc w:val="both"/>
        <w:rPr>
          <w:rFonts w:ascii="Times New Roman" w:eastAsia="Times New Roman" w:hAnsi="Times New Roman" w:cs="Times New Roman"/>
          <w:b/>
          <w:sz w:val="24"/>
          <w:szCs w:val="24"/>
          <w:lang w:val="en-US"/>
        </w:rPr>
      </w:pPr>
      <w:r w:rsidRPr="005F2D1E">
        <w:rPr>
          <w:rFonts w:ascii="Times New Roman" w:eastAsia="Times New Roman" w:hAnsi="Times New Roman" w:cs="Times New Roman"/>
          <w:b/>
          <w:sz w:val="24"/>
          <w:szCs w:val="24"/>
          <w:lang w:val="en-US"/>
        </w:rPr>
        <w:t>Antibacterial Activity of thiosemicarbaz</w:t>
      </w:r>
      <w:r>
        <w:rPr>
          <w:rFonts w:ascii="Times New Roman" w:eastAsia="Times New Roman" w:hAnsi="Times New Roman" w:cs="Times New Roman"/>
          <w:b/>
          <w:sz w:val="24"/>
          <w:szCs w:val="24"/>
          <w:lang w:val="en-US"/>
        </w:rPr>
        <w:t>one and its Metal(II) Complexes (Table 9).</w:t>
      </w:r>
    </w:p>
    <w:p w:rsidR="005F2D1E" w:rsidRPr="00A318E8" w:rsidRDefault="005F2D1E" w:rsidP="005F2D1E">
      <w:pPr>
        <w:pStyle w:val="NormalWeb"/>
        <w:spacing w:line="480" w:lineRule="auto"/>
        <w:jc w:val="both"/>
        <w:rPr>
          <w:lang w:val="en-US"/>
        </w:rPr>
      </w:pPr>
      <w:r w:rsidRPr="00A318E8">
        <w:t>The antibacterial activity of the thiosemicarbazone Schiff base ligand (L = C₇H₉N₃O</w:t>
      </w:r>
      <w:r w:rsidR="00223C52" w:rsidRPr="00A318E8">
        <w:t>S</w:t>
      </w:r>
      <w:r w:rsidRPr="00A318E8">
        <w:t xml:space="preserve">) and its Ni(II), Cu(II), and Zn(II) complexes was assessed against </w:t>
      </w:r>
      <w:r w:rsidRPr="00A318E8">
        <w:rPr>
          <w:rStyle w:val="Emphasis"/>
        </w:rPr>
        <w:t>Staphylococcus aureus</w:t>
      </w:r>
      <w:r w:rsidRPr="00A318E8">
        <w:t xml:space="preserve"> (Gram-positive) and </w:t>
      </w:r>
      <w:r w:rsidRPr="00A318E8">
        <w:rPr>
          <w:rStyle w:val="Emphasis"/>
        </w:rPr>
        <w:t>Escherichia coli</w:t>
      </w:r>
      <w:r w:rsidRPr="00A318E8">
        <w:t xml:space="preserve"> and </w:t>
      </w:r>
      <w:r w:rsidRPr="00A318E8">
        <w:rPr>
          <w:rStyle w:val="Emphasis"/>
        </w:rPr>
        <w:t>Salmonella typhi</w:t>
      </w:r>
      <w:r w:rsidRPr="00A318E8">
        <w:t xml:space="preserve"> (Gram-negative), using ciprofloxacin as a reference drug. The results reveal a clear concentration-dependent inhibition for all tested compounds.</w:t>
      </w:r>
    </w:p>
    <w:p w:rsidR="005F2D1E" w:rsidRPr="00A318E8" w:rsidRDefault="005F2D1E" w:rsidP="005F2D1E">
      <w:pPr>
        <w:pStyle w:val="NormalWeb"/>
        <w:spacing w:line="480" w:lineRule="auto"/>
        <w:jc w:val="both"/>
      </w:pPr>
      <w:r w:rsidRPr="00A318E8">
        <w:t>The free ligand exhibits modest antibacterial activity (6</w:t>
      </w:r>
      <w:r w:rsidR="00A56F04">
        <w:t>-</w:t>
      </w:r>
      <w:r w:rsidRPr="00A318E8">
        <w:t>14 mm), which can be attributed to the presence of biologically active azomethine (–C=N–) and thione (C=S) functionalities capable of interacting weakly with microbial enzymes and cellular proteins. However, its limited lipophilicity restricts efficient penetration through bacterial cell membranes, particularly in Gram-negative strains with an outer lipopolysaccharide barrier.</w:t>
      </w:r>
    </w:p>
    <w:p w:rsidR="005F2D1E" w:rsidRPr="00A318E8" w:rsidRDefault="005F2D1E" w:rsidP="005F2D1E">
      <w:pPr>
        <w:pStyle w:val="NormalWeb"/>
        <w:spacing w:line="480" w:lineRule="auto"/>
        <w:jc w:val="both"/>
      </w:pPr>
      <w:r w:rsidRPr="00A318E8">
        <w:t>Complexation with metal ions results in a marked enhancement of antibacterial activity across all concentrations and bacterial species. This improvement follows the order:</w:t>
      </w:r>
    </w:p>
    <w:p w:rsidR="005F2D1E" w:rsidRPr="00A318E8" w:rsidRDefault="005F2D1E" w:rsidP="005F2D1E">
      <w:pPr>
        <w:pStyle w:val="NormalWeb"/>
        <w:spacing w:line="480" w:lineRule="auto"/>
        <w:jc w:val="both"/>
      </w:pPr>
      <w:r w:rsidRPr="00A318E8">
        <w:rPr>
          <w:rStyle w:val="Strong"/>
        </w:rPr>
        <w:t>Cu(II) complex &gt; Zn(II) complex &gt; Ni(II) complex &gt; free ligand</w:t>
      </w:r>
    </w:p>
    <w:p w:rsidR="005F2D1E" w:rsidRPr="00A318E8" w:rsidRDefault="005F2D1E" w:rsidP="005F2D1E">
      <w:pPr>
        <w:pStyle w:val="NormalWeb"/>
        <w:spacing w:line="480" w:lineRule="auto"/>
        <w:jc w:val="both"/>
      </w:pPr>
      <w:r w:rsidRPr="00A318E8">
        <w:lastRenderedPageBreak/>
        <w:t xml:space="preserve">Such enhancement is well explained by </w:t>
      </w:r>
      <w:r w:rsidRPr="00A318E8">
        <w:rPr>
          <w:rStyle w:val="Strong"/>
          <w:b w:val="0"/>
        </w:rPr>
        <w:t>Tweedy’s chelation theory</w:t>
      </w:r>
      <w:r w:rsidRPr="00A318E8">
        <w:t>, which states that chelation reduces the polarity of the metal ion through partial charge sharing with donor atoms and increases the delocalization of π-electrons over the chelate ring. This process significantly enhances the lipophilicity of the complex, facilitating diffusion through the lipid layers of bacterial cell membranes (10, 27).</w:t>
      </w:r>
    </w:p>
    <w:p w:rsidR="005F2D1E" w:rsidRPr="00A318E8" w:rsidRDefault="005F2D1E" w:rsidP="005F2D1E">
      <w:pPr>
        <w:pStyle w:val="NormalWeb"/>
        <w:spacing w:line="480" w:lineRule="auto"/>
        <w:jc w:val="both"/>
      </w:pPr>
      <w:r w:rsidRPr="00A318E8">
        <w:t xml:space="preserve">The Cu(II) complex demonstrates the highest antibacterial activity, approaching that of ciprofloxacin, particularly against </w:t>
      </w:r>
      <w:r w:rsidRPr="00A318E8">
        <w:rPr>
          <w:rStyle w:val="Emphasis"/>
        </w:rPr>
        <w:t>Staphylococcus aureus</w:t>
      </w:r>
      <w:r w:rsidRPr="00A318E8">
        <w:t xml:space="preserve">. This superior performance is commonly reported for Cu(II) complexes and is attributed to the redox-active nature of copper, which can participate in Fenton-type reactions, generating reactive oxygen species (ROS). These ROS induce oxidative stress, leading to damage of bacterial membranes, proteins, and nucleic acids (24, 18). Additionally, Cu(II) ions are known to bind strongly to thiol-containing enzymes, disrupting essential metabolic pathways. </w:t>
      </w:r>
    </w:p>
    <w:p w:rsidR="005F2D1E" w:rsidRPr="00A318E8" w:rsidRDefault="005F2D1E" w:rsidP="005F2D1E">
      <w:pPr>
        <w:pStyle w:val="NormalWeb"/>
        <w:spacing w:line="480" w:lineRule="auto"/>
        <w:jc w:val="both"/>
      </w:pPr>
      <w:r w:rsidRPr="00A318E8">
        <w:t>The Zn(II) complex also exhibits notable antibacterial activity despite being diamagnetic. This effect is associated with the strong Lewis acidic character of Zn(II), which promotes binding to biological donor sites such as nitrogen and sulfur atoms in proteins and enzymes, thereby inhibiting microbial growth (17). Zn(II) complexes are also reported to interfere with DNA replication and transcription by stabilizing metal–DNA interactions.</w:t>
      </w:r>
    </w:p>
    <w:p w:rsidR="005F2D1E" w:rsidRPr="00A318E8" w:rsidRDefault="005F2D1E" w:rsidP="005F2D1E">
      <w:pPr>
        <w:pStyle w:val="NormalWeb"/>
        <w:spacing w:line="480" w:lineRule="auto"/>
        <w:jc w:val="both"/>
      </w:pPr>
      <w:r w:rsidRPr="00A318E8">
        <w:t>The Ni(II) complex shows comparatively lower, yet significant, antibacterial activity. This behavior is consistent with literature reports indicating that Ni(II) complexes generally exhibit weaker redox activity than Cu(II) complexes but still benefit from enhanced membrane permeability due to chelation (19,38)</w:t>
      </w:r>
    </w:p>
    <w:p w:rsidR="005F2D1E" w:rsidRPr="00A318E8" w:rsidRDefault="005F2D1E" w:rsidP="005F2D1E">
      <w:pPr>
        <w:pStyle w:val="NormalWeb"/>
        <w:spacing w:line="480" w:lineRule="auto"/>
        <w:jc w:val="both"/>
      </w:pPr>
      <w:r w:rsidRPr="00A318E8">
        <w:t xml:space="preserve">The reduced susceptibility of Gram-negative bacteria compared to Gram-positive </w:t>
      </w:r>
      <w:r w:rsidRPr="00A318E8">
        <w:rPr>
          <w:rStyle w:val="Emphasis"/>
        </w:rPr>
        <w:t>S. aureus</w:t>
      </w:r>
      <w:r w:rsidRPr="00A318E8">
        <w:t xml:space="preserve"> is attributed to structural differences in their cell walls. The outer membrane of Gram-negative </w:t>
      </w:r>
      <w:r w:rsidRPr="00A318E8">
        <w:lastRenderedPageBreak/>
        <w:t>bacteria acts as an additional permeability barrier, limiting the uptake of antimicrobial agents, a phenomenon widely reported in coordination compound studies (6).</w:t>
      </w:r>
    </w:p>
    <w:p w:rsidR="005F2D1E" w:rsidRDefault="005F2D1E" w:rsidP="005F2D1E">
      <w:pPr>
        <w:pStyle w:val="NormalWeb"/>
        <w:spacing w:line="480" w:lineRule="auto"/>
        <w:jc w:val="both"/>
      </w:pPr>
      <w:r w:rsidRPr="00A318E8">
        <w:t>Overall, the antibacterial data strongly support that coordination of the thiosemicarbazone ligand to transition metal ions enhances biological activity through increased lipophilicity, improved membrane penetration, enzyme inhibition, metal-induced oxidative stress, and possible DNA interactions. These findings align well with previous reports on thiosemicarbazone metal complexes and highlight the Cu(II) and Zn(II) complexes as promising candidates for furth</w:t>
      </w:r>
      <w:r>
        <w:t>er antimicrobial investigation.</w:t>
      </w:r>
    </w:p>
    <w:p w:rsidR="00913357" w:rsidRPr="004569EE" w:rsidRDefault="00913357" w:rsidP="00913357">
      <w:pPr>
        <w:rPr>
          <w:rFonts w:ascii="Times New Roman" w:hAnsi="Times New Roman" w:cs="Times New Roman"/>
          <w:sz w:val="24"/>
          <w:szCs w:val="24"/>
        </w:rPr>
      </w:pPr>
      <w:r w:rsidRPr="00A318E8">
        <w:rPr>
          <w:rFonts w:ascii="Times New Roman" w:hAnsi="Times New Roman" w:cs="Times New Roman"/>
        </w:rPr>
        <w:object w:dxaOrig="15436" w:dyaOrig="11815">
          <v:shape id="_x0000_i1026" type="#_x0000_t75" style="width:518.25pt;height:315pt" o:ole="">
            <v:imagedata r:id="rId11" o:title="" croptop="3989f" cropbottom="1710f" cropleft="4579f" cropright="218f"/>
          </v:shape>
          <o:OLEObject Type="Embed" ProgID="Origin95.Graph" ShapeID="_x0000_i1026" DrawAspect="Content" ObjectID="_1843130009" r:id="rId12"/>
        </w:object>
      </w:r>
      <w:r w:rsidRPr="004569EE">
        <w:rPr>
          <w:rFonts w:ascii="Times New Roman" w:hAnsi="Times New Roman" w:cs="Times New Roman"/>
          <w:sz w:val="24"/>
          <w:szCs w:val="24"/>
        </w:rPr>
        <w:t xml:space="preserve">Fig 1: Bar chart showing the antibacterial activity of the Thiosemicarbazone and its complexes against </w:t>
      </w:r>
      <w:r w:rsidRPr="004569EE">
        <w:rPr>
          <w:rFonts w:ascii="Times New Roman" w:hAnsi="Times New Roman" w:cs="Times New Roman"/>
          <w:i/>
          <w:sz w:val="24"/>
          <w:szCs w:val="24"/>
        </w:rPr>
        <w:t>Staphylococcus aureus</w:t>
      </w:r>
    </w:p>
    <w:p w:rsidR="00913357" w:rsidRPr="004569EE" w:rsidRDefault="00913357" w:rsidP="00913357">
      <w:pPr>
        <w:rPr>
          <w:rFonts w:ascii="Times New Roman" w:hAnsi="Times New Roman" w:cs="Times New Roman"/>
        </w:rPr>
      </w:pPr>
      <w:r w:rsidRPr="00A318E8">
        <w:rPr>
          <w:rFonts w:ascii="Times New Roman" w:hAnsi="Times New Roman" w:cs="Times New Roman"/>
        </w:rPr>
        <w:object w:dxaOrig="15437" w:dyaOrig="11815">
          <v:shape id="_x0000_i1027" type="#_x0000_t75" style="width:546.75pt;height:363.75pt" o:ole="">
            <v:imagedata r:id="rId13" o:title=""/>
          </v:shape>
          <o:OLEObject Type="Embed" ProgID="Origin95.Graph" ShapeID="_x0000_i1027" DrawAspect="Content" ObjectID="_1843130010" r:id="rId14"/>
        </w:object>
      </w:r>
      <w:r w:rsidRPr="00A318E8">
        <w:rPr>
          <w:rFonts w:ascii="Times New Roman" w:hAnsi="Times New Roman" w:cs="Times New Roman"/>
          <w:sz w:val="24"/>
          <w:szCs w:val="24"/>
        </w:rPr>
        <w:t xml:space="preserve">Fig 2: Bar chart showing the antibacterial activity of the Thiosemicarbazone and its complexes against </w:t>
      </w:r>
      <w:r w:rsidRPr="00A318E8">
        <w:rPr>
          <w:rFonts w:ascii="Times New Roman" w:hAnsi="Times New Roman" w:cs="Times New Roman"/>
          <w:i/>
          <w:sz w:val="24"/>
          <w:szCs w:val="24"/>
        </w:rPr>
        <w:t>Escherichia coli</w:t>
      </w:r>
    </w:p>
    <w:p w:rsidR="00913357" w:rsidRPr="00A318E8" w:rsidRDefault="00913357" w:rsidP="00913357">
      <w:pPr>
        <w:rPr>
          <w:rFonts w:ascii="Times New Roman" w:hAnsi="Times New Roman" w:cs="Times New Roman"/>
        </w:rPr>
      </w:pPr>
      <w:r w:rsidRPr="00A318E8">
        <w:rPr>
          <w:rFonts w:ascii="Times New Roman" w:hAnsi="Times New Roman" w:cs="Times New Roman"/>
        </w:rPr>
        <w:t xml:space="preserve"> </w:t>
      </w:r>
    </w:p>
    <w:p w:rsidR="00913357" w:rsidRPr="004569EE" w:rsidRDefault="00913357" w:rsidP="00913357">
      <w:pPr>
        <w:rPr>
          <w:rFonts w:ascii="Times New Roman" w:hAnsi="Times New Roman" w:cs="Times New Roman"/>
        </w:rPr>
      </w:pPr>
      <w:r w:rsidRPr="00A318E8">
        <w:rPr>
          <w:rFonts w:ascii="Times New Roman" w:hAnsi="Times New Roman" w:cs="Times New Roman"/>
        </w:rPr>
        <w:object w:dxaOrig="15437" w:dyaOrig="11815">
          <v:shape id="_x0000_i1028" type="#_x0000_t75" style="width:548.25pt;height:285pt" o:ole="">
            <v:imagedata r:id="rId15" o:title="" croptop="2849f" cropbottom="2707f" cropleft="4580f" cropright="872f"/>
          </v:shape>
          <o:OLEObject Type="Embed" ProgID="Origin95.Graph" ShapeID="_x0000_i1028" DrawAspect="Content" ObjectID="_1843130011" r:id="rId16"/>
        </w:object>
      </w:r>
      <w:r w:rsidRPr="004569EE">
        <w:rPr>
          <w:rFonts w:ascii="Times New Roman" w:hAnsi="Times New Roman" w:cs="Times New Roman"/>
          <w:sz w:val="24"/>
          <w:szCs w:val="24"/>
        </w:rPr>
        <w:t xml:space="preserve">Fig 3: Bar chart showing the antibacterial activity of the Thiosemicarbazone and its complexes against </w:t>
      </w:r>
      <w:r w:rsidRPr="004569EE">
        <w:rPr>
          <w:rFonts w:ascii="Times New Roman" w:hAnsi="Times New Roman" w:cs="Times New Roman"/>
          <w:i/>
          <w:sz w:val="24"/>
          <w:szCs w:val="24"/>
        </w:rPr>
        <w:t xml:space="preserve">Salmonella typhi </w:t>
      </w:r>
    </w:p>
    <w:p w:rsidR="00913357" w:rsidRDefault="00913357" w:rsidP="00913357">
      <w:pPr>
        <w:rPr>
          <w:rFonts w:ascii="Times New Roman" w:eastAsiaTheme="minorEastAsia" w:hAnsi="Times New Roman" w:cs="Times New Roman"/>
          <w:noProof/>
          <w:sz w:val="24"/>
          <w:szCs w:val="24"/>
          <w:lang w:val="en-US"/>
        </w:rPr>
      </w:pPr>
    </w:p>
    <w:p w:rsidR="00913357" w:rsidRDefault="00913357" w:rsidP="00913357">
      <w:pPr>
        <w:rPr>
          <w:rFonts w:ascii="Times New Roman" w:eastAsiaTheme="minorEastAsia" w:hAnsi="Times New Roman" w:cs="Times New Roman"/>
          <w:noProof/>
          <w:sz w:val="24"/>
          <w:szCs w:val="24"/>
          <w:lang w:val="en-US"/>
        </w:rPr>
      </w:pPr>
    </w:p>
    <w:p w:rsidR="00913357" w:rsidRDefault="00913357" w:rsidP="00913357">
      <w:pPr>
        <w:rPr>
          <w:rFonts w:ascii="Times New Roman" w:eastAsiaTheme="minorEastAsia" w:hAnsi="Times New Roman" w:cs="Times New Roman"/>
          <w:noProof/>
          <w:sz w:val="24"/>
          <w:szCs w:val="24"/>
          <w:lang w:val="en-US"/>
        </w:rPr>
      </w:pPr>
    </w:p>
    <w:p w:rsidR="00913357" w:rsidRDefault="00913357" w:rsidP="00913357">
      <w:pPr>
        <w:rPr>
          <w:rFonts w:ascii="Times New Roman" w:eastAsiaTheme="minorEastAsia" w:hAnsi="Times New Roman" w:cs="Times New Roman"/>
          <w:noProof/>
          <w:sz w:val="24"/>
          <w:szCs w:val="24"/>
          <w:lang w:val="en-US"/>
        </w:rPr>
      </w:pPr>
    </w:p>
    <w:p w:rsidR="00913357" w:rsidRDefault="00913357" w:rsidP="00913357">
      <w:pPr>
        <w:rPr>
          <w:rFonts w:ascii="Times New Roman" w:eastAsiaTheme="minorEastAsia" w:hAnsi="Times New Roman" w:cs="Times New Roman"/>
          <w:noProof/>
          <w:sz w:val="24"/>
          <w:szCs w:val="24"/>
          <w:lang w:val="en-US"/>
        </w:rPr>
      </w:pPr>
    </w:p>
    <w:p w:rsidR="00913357" w:rsidRDefault="00913357" w:rsidP="00913357">
      <w:pPr>
        <w:rPr>
          <w:rFonts w:ascii="Times New Roman" w:eastAsiaTheme="minorEastAsia" w:hAnsi="Times New Roman" w:cs="Times New Roman"/>
          <w:noProof/>
          <w:sz w:val="24"/>
          <w:szCs w:val="24"/>
          <w:lang w:val="en-US"/>
        </w:rPr>
      </w:pPr>
    </w:p>
    <w:p w:rsidR="00913357" w:rsidRPr="00A318E8" w:rsidRDefault="00913357" w:rsidP="00913357">
      <w:pPr>
        <w:rPr>
          <w:rFonts w:ascii="Times New Roman" w:eastAsiaTheme="minorEastAsia" w:hAnsi="Times New Roman" w:cs="Times New Roman"/>
          <w:sz w:val="24"/>
          <w:szCs w:val="24"/>
        </w:rPr>
      </w:pPr>
      <w:r w:rsidRPr="00A318E8">
        <w:rPr>
          <w:rFonts w:ascii="Times New Roman" w:eastAsiaTheme="minorEastAsia" w:hAnsi="Times New Roman" w:cs="Times New Roman"/>
          <w:noProof/>
          <w:sz w:val="24"/>
          <w:szCs w:val="24"/>
          <w:lang w:val="en-US"/>
        </w:rPr>
        <w:lastRenderedPageBreak/>
        <w:drawing>
          <wp:inline distT="0" distB="0" distL="0" distR="0" wp14:anchorId="525D07E6" wp14:editId="5604E9F4">
            <wp:extent cx="5685183" cy="2766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98485" cy="2773116"/>
                    </a:xfrm>
                    <a:prstGeom prst="rect">
                      <a:avLst/>
                    </a:prstGeom>
                  </pic:spPr>
                </pic:pic>
              </a:graphicData>
            </a:graphic>
          </wp:inline>
        </w:drawing>
      </w:r>
      <w:r w:rsidRPr="00A318E8">
        <w:rPr>
          <w:rFonts w:ascii="Times New Roman" w:eastAsiaTheme="minorEastAsia" w:hAnsi="Times New Roman" w:cs="Times New Roman"/>
          <w:sz w:val="24"/>
          <w:szCs w:val="24"/>
        </w:rPr>
        <w:t>Fig. 4: FTIR spectrum of Thiosemicarbazone Schiff base</w:t>
      </w:r>
    </w:p>
    <w:p w:rsidR="00913357" w:rsidRPr="00A318E8" w:rsidRDefault="00913357" w:rsidP="00913357">
      <w:pPr>
        <w:rPr>
          <w:rFonts w:ascii="Times New Roman" w:eastAsiaTheme="minorEastAsia" w:hAnsi="Times New Roman" w:cs="Times New Roman"/>
          <w:sz w:val="24"/>
          <w:szCs w:val="24"/>
        </w:rPr>
      </w:pPr>
      <w:r w:rsidRPr="00A318E8">
        <w:rPr>
          <w:rFonts w:ascii="Times New Roman" w:eastAsiaTheme="minorEastAsia" w:hAnsi="Times New Roman" w:cs="Times New Roman"/>
          <w:noProof/>
          <w:sz w:val="24"/>
          <w:szCs w:val="24"/>
          <w:lang w:val="en-US"/>
        </w:rPr>
        <w:drawing>
          <wp:inline distT="0" distB="0" distL="0" distR="0" wp14:anchorId="159028F5" wp14:editId="56800762">
            <wp:extent cx="5724939" cy="28035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5986" cy="2813832"/>
                    </a:xfrm>
                    <a:prstGeom prst="rect">
                      <a:avLst/>
                    </a:prstGeom>
                  </pic:spPr>
                </pic:pic>
              </a:graphicData>
            </a:graphic>
          </wp:inline>
        </w:drawing>
      </w:r>
    </w:p>
    <w:p w:rsidR="00913357" w:rsidRPr="00A318E8" w:rsidRDefault="00913357" w:rsidP="00913357">
      <w:pPr>
        <w:rPr>
          <w:rFonts w:ascii="Times New Roman" w:hAnsi="Times New Roman" w:cs="Times New Roman"/>
          <w:sz w:val="24"/>
          <w:szCs w:val="24"/>
        </w:rPr>
      </w:pPr>
      <w:r w:rsidRPr="00A318E8">
        <w:rPr>
          <w:rFonts w:ascii="Times New Roman" w:hAnsi="Times New Roman" w:cs="Times New Roman"/>
          <w:sz w:val="24"/>
          <w:szCs w:val="24"/>
        </w:rPr>
        <w:t xml:space="preserve">Fig 5: FTIR Spectrum of Thiosemicarbazone Ni(II) complex </w:t>
      </w:r>
    </w:p>
    <w:p w:rsidR="00913357" w:rsidRPr="00A318E8" w:rsidRDefault="00913357" w:rsidP="00913357">
      <w:pPr>
        <w:rPr>
          <w:rFonts w:ascii="Times New Roman" w:eastAsiaTheme="minorEastAsia" w:hAnsi="Times New Roman" w:cs="Times New Roman"/>
          <w:sz w:val="24"/>
          <w:szCs w:val="24"/>
        </w:rPr>
      </w:pPr>
      <w:r w:rsidRPr="00A318E8">
        <w:rPr>
          <w:rFonts w:ascii="Times New Roman" w:eastAsiaTheme="minorEastAsia" w:hAnsi="Times New Roman" w:cs="Times New Roman"/>
          <w:noProof/>
          <w:sz w:val="24"/>
          <w:szCs w:val="24"/>
          <w:lang w:val="en-US"/>
        </w:rPr>
        <w:lastRenderedPageBreak/>
        <w:drawing>
          <wp:inline distT="0" distB="0" distL="0" distR="0" wp14:anchorId="08A82647" wp14:editId="35D125F2">
            <wp:extent cx="5804452" cy="2774757"/>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20236" cy="2782302"/>
                    </a:xfrm>
                    <a:prstGeom prst="rect">
                      <a:avLst/>
                    </a:prstGeom>
                  </pic:spPr>
                </pic:pic>
              </a:graphicData>
            </a:graphic>
          </wp:inline>
        </w:drawing>
      </w:r>
    </w:p>
    <w:p w:rsidR="00913357" w:rsidRPr="00A318E8" w:rsidRDefault="00913357" w:rsidP="00913357">
      <w:pPr>
        <w:rPr>
          <w:rFonts w:ascii="Times New Roman" w:hAnsi="Times New Roman" w:cs="Times New Roman"/>
          <w:sz w:val="24"/>
          <w:szCs w:val="24"/>
        </w:rPr>
      </w:pPr>
      <w:r w:rsidRPr="00A318E8">
        <w:rPr>
          <w:rFonts w:ascii="Times New Roman" w:hAnsi="Times New Roman" w:cs="Times New Roman"/>
          <w:sz w:val="24"/>
          <w:szCs w:val="24"/>
        </w:rPr>
        <w:t xml:space="preserve">Fig 6: FTIR Spectrum of Thiosemicarbazone Cu(II) complex </w:t>
      </w:r>
    </w:p>
    <w:p w:rsidR="00913357" w:rsidRPr="00A318E8" w:rsidRDefault="00913357" w:rsidP="00913357">
      <w:pPr>
        <w:rPr>
          <w:rFonts w:ascii="Times New Roman" w:eastAsiaTheme="minorEastAsia" w:hAnsi="Times New Roman" w:cs="Times New Roman"/>
          <w:sz w:val="24"/>
          <w:szCs w:val="24"/>
        </w:rPr>
      </w:pPr>
      <w:r w:rsidRPr="00A318E8">
        <w:rPr>
          <w:rFonts w:ascii="Times New Roman" w:eastAsiaTheme="minorEastAsia" w:hAnsi="Times New Roman" w:cs="Times New Roman"/>
          <w:noProof/>
          <w:sz w:val="24"/>
          <w:szCs w:val="24"/>
          <w:lang w:val="en-US"/>
        </w:rPr>
        <w:drawing>
          <wp:inline distT="0" distB="0" distL="0" distR="0" wp14:anchorId="33A97893" wp14:editId="07837A12">
            <wp:extent cx="5834270" cy="2785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46732" cy="2791695"/>
                    </a:xfrm>
                    <a:prstGeom prst="rect">
                      <a:avLst/>
                    </a:prstGeom>
                  </pic:spPr>
                </pic:pic>
              </a:graphicData>
            </a:graphic>
          </wp:inline>
        </w:drawing>
      </w:r>
    </w:p>
    <w:p w:rsidR="00913357" w:rsidRPr="00A318E8" w:rsidRDefault="00913357" w:rsidP="00913357">
      <w:pPr>
        <w:rPr>
          <w:rFonts w:ascii="Times New Roman" w:hAnsi="Times New Roman" w:cs="Times New Roman"/>
          <w:sz w:val="24"/>
          <w:szCs w:val="24"/>
        </w:rPr>
      </w:pPr>
      <w:r w:rsidRPr="00A318E8">
        <w:rPr>
          <w:rFonts w:ascii="Times New Roman" w:hAnsi="Times New Roman" w:cs="Times New Roman"/>
          <w:sz w:val="24"/>
          <w:szCs w:val="24"/>
        </w:rPr>
        <w:t xml:space="preserve">Fig 7: FTIR Spectrum of Thiosemicarbazone Zn(II) complex </w:t>
      </w:r>
    </w:p>
    <w:p w:rsidR="00BD7CA4" w:rsidRPr="005F2D1E" w:rsidRDefault="00695E5F" w:rsidP="005F2D1E">
      <w:pPr>
        <w:pStyle w:val="NormalWeb"/>
        <w:jc w:val="both"/>
      </w:pPr>
      <w:r w:rsidRPr="00A318E8">
        <w:rPr>
          <w:rFonts w:eastAsiaTheme="minorEastAsia"/>
          <w:b/>
        </w:rPr>
        <w:t xml:space="preserve">CONCLUSION </w:t>
      </w:r>
    </w:p>
    <w:p w:rsidR="00E9740B" w:rsidRDefault="00695E5F" w:rsidP="005F2D1E">
      <w:pPr>
        <w:spacing w:line="480" w:lineRule="auto"/>
        <w:jc w:val="both"/>
        <w:rPr>
          <w:rFonts w:ascii="Times New Roman" w:eastAsiaTheme="minorEastAsia" w:hAnsi="Times New Roman" w:cs="Times New Roman"/>
          <w:sz w:val="24"/>
          <w:szCs w:val="24"/>
        </w:rPr>
      </w:pPr>
      <w:r w:rsidRPr="00A318E8">
        <w:rPr>
          <w:rFonts w:ascii="Times New Roman" w:eastAsiaTheme="minorEastAsia" w:hAnsi="Times New Roman" w:cs="Times New Roman"/>
          <w:sz w:val="24"/>
          <w:szCs w:val="24"/>
        </w:rPr>
        <w:t xml:space="preserve">A Schiff base ligand and its metal (II) complexes were successfully synthesized and characterized using various physicochemical techniques and spectral analysis. Both the Schiff base and the resulting compounds were produced in considerable yields and displayed notable thermal stability. The low conductivity observed in the complexes suggests their non-electrolytic nature, confirming chloride coordination within the inner coordination sphere. </w:t>
      </w:r>
      <w:r w:rsidRPr="00A318E8">
        <w:rPr>
          <w:rFonts w:ascii="Times New Roman" w:eastAsiaTheme="minorEastAsia" w:hAnsi="Times New Roman" w:cs="Times New Roman"/>
          <w:sz w:val="24"/>
          <w:szCs w:val="24"/>
        </w:rPr>
        <w:lastRenderedPageBreak/>
        <w:t xml:space="preserve">Measurements of effective magnetic moments indicate that the complexes are paramagnetic. Infrared spectra exhibited all absorption bands at the anticipated wavenumbers, while electronic spectra revealed n→π* transitions at expected wavelengths. Furthermore, results from </w:t>
      </w:r>
      <w:r w:rsidR="00265B89">
        <w:rPr>
          <w:rFonts w:ascii="Times New Roman" w:eastAsiaTheme="minorEastAsia" w:hAnsi="Times New Roman" w:cs="Times New Roman"/>
          <w:sz w:val="24"/>
          <w:szCs w:val="24"/>
        </w:rPr>
        <w:t>elemental and</w:t>
      </w:r>
      <w:r w:rsidRPr="00A318E8">
        <w:rPr>
          <w:rFonts w:ascii="Times New Roman" w:eastAsiaTheme="minorEastAsia" w:hAnsi="Times New Roman" w:cs="Times New Roman"/>
          <w:sz w:val="24"/>
          <w:szCs w:val="24"/>
        </w:rPr>
        <w:t xml:space="preserve"> gravimetric analysis indicate a metal-ligand ratio of 1:2, supporting the proposed structural model. The </w:t>
      </w:r>
      <w:r w:rsidR="0073665B" w:rsidRPr="0073665B">
        <w:rPr>
          <w:rFonts w:ascii="Times New Roman" w:eastAsiaTheme="minorEastAsia" w:hAnsi="Times New Roman" w:cs="Times New Roman"/>
          <w:i/>
          <w:sz w:val="24"/>
          <w:szCs w:val="24"/>
        </w:rPr>
        <w:t>in vitro</w:t>
      </w:r>
      <w:r w:rsidR="0073665B">
        <w:rPr>
          <w:rFonts w:ascii="Times New Roman" w:eastAsiaTheme="minorEastAsia" w:hAnsi="Times New Roman" w:cs="Times New Roman"/>
          <w:sz w:val="24"/>
          <w:szCs w:val="24"/>
        </w:rPr>
        <w:t xml:space="preserve"> </w:t>
      </w:r>
      <w:r w:rsidRPr="00A318E8">
        <w:rPr>
          <w:rFonts w:ascii="Times New Roman" w:eastAsiaTheme="minorEastAsia" w:hAnsi="Times New Roman" w:cs="Times New Roman"/>
          <w:sz w:val="24"/>
          <w:szCs w:val="24"/>
        </w:rPr>
        <w:t>anti</w:t>
      </w:r>
      <w:r w:rsidR="00265B89">
        <w:rPr>
          <w:rFonts w:ascii="Times New Roman" w:eastAsiaTheme="minorEastAsia" w:hAnsi="Times New Roman" w:cs="Times New Roman"/>
          <w:sz w:val="24"/>
          <w:szCs w:val="24"/>
        </w:rPr>
        <w:t>bacterial</w:t>
      </w:r>
      <w:r w:rsidRPr="00A318E8">
        <w:rPr>
          <w:rFonts w:ascii="Times New Roman" w:eastAsiaTheme="minorEastAsia" w:hAnsi="Times New Roman" w:cs="Times New Roman"/>
          <w:sz w:val="24"/>
          <w:szCs w:val="24"/>
        </w:rPr>
        <w:t xml:space="preserve"> activity showed significant enhancement upon complexation, underscoring the</w:t>
      </w:r>
      <w:r w:rsidR="00265B89">
        <w:rPr>
          <w:rFonts w:ascii="Times New Roman" w:eastAsiaTheme="minorEastAsia" w:hAnsi="Times New Roman" w:cs="Times New Roman"/>
          <w:sz w:val="24"/>
          <w:szCs w:val="24"/>
        </w:rPr>
        <w:t>ir</w:t>
      </w:r>
      <w:r w:rsidRPr="00A318E8">
        <w:rPr>
          <w:rFonts w:ascii="Times New Roman" w:eastAsiaTheme="minorEastAsia" w:hAnsi="Times New Roman" w:cs="Times New Roman"/>
          <w:sz w:val="24"/>
          <w:szCs w:val="24"/>
        </w:rPr>
        <w:t xml:space="preserve"> </w:t>
      </w:r>
      <w:r w:rsidR="00265B89" w:rsidRPr="00265B89">
        <w:rPr>
          <w:rFonts w:ascii="Times New Roman" w:hAnsi="Times New Roman" w:cs="Times New Roman"/>
          <w:sz w:val="24"/>
          <w:szCs w:val="24"/>
        </w:rPr>
        <w:t>potential leads for further study</w:t>
      </w:r>
      <w:r w:rsidR="00265B89" w:rsidRPr="00814469">
        <w:t>.</w:t>
      </w:r>
    </w:p>
    <w:p w:rsidR="00E9740B" w:rsidRPr="00E9740B" w:rsidRDefault="00E9740B" w:rsidP="005F2D1E">
      <w:pPr>
        <w:spacing w:line="240" w:lineRule="auto"/>
        <w:jc w:val="both"/>
        <w:rPr>
          <w:rStyle w:val="Strong"/>
          <w:rFonts w:ascii="Times New Roman" w:hAnsi="Times New Roman" w:cs="Times New Roman"/>
          <w:bCs w:val="0"/>
          <w:sz w:val="24"/>
          <w:szCs w:val="24"/>
        </w:rPr>
      </w:pPr>
      <w:r w:rsidRPr="00E9740B">
        <w:rPr>
          <w:rStyle w:val="Strong"/>
          <w:rFonts w:ascii="Times New Roman" w:hAnsi="Times New Roman" w:cs="Times New Roman"/>
          <w:bCs w:val="0"/>
          <w:sz w:val="24"/>
          <w:szCs w:val="24"/>
        </w:rPr>
        <w:t>Acknowledgement</w:t>
      </w:r>
    </w:p>
    <w:p w:rsidR="00E9740B" w:rsidRPr="00E9740B" w:rsidRDefault="001E3684" w:rsidP="00E974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author </w:t>
      </w:r>
      <w:r w:rsidR="00E9740B" w:rsidRPr="00E9740B">
        <w:rPr>
          <w:rFonts w:ascii="Times New Roman" w:hAnsi="Times New Roman" w:cs="Times New Roman"/>
          <w:sz w:val="24"/>
          <w:szCs w:val="24"/>
        </w:rPr>
        <w:t>express</w:t>
      </w:r>
      <w:r>
        <w:rPr>
          <w:rFonts w:ascii="Times New Roman" w:hAnsi="Times New Roman" w:cs="Times New Roman"/>
          <w:sz w:val="24"/>
          <w:szCs w:val="24"/>
        </w:rPr>
        <w:t>es</w:t>
      </w:r>
      <w:r w:rsidR="00E9740B" w:rsidRPr="00E9740B">
        <w:rPr>
          <w:rFonts w:ascii="Times New Roman" w:hAnsi="Times New Roman" w:cs="Times New Roman"/>
          <w:sz w:val="24"/>
          <w:szCs w:val="24"/>
        </w:rPr>
        <w:t xml:space="preserve"> appreciation to the academic and technical staff of the </w:t>
      </w:r>
      <w:r w:rsidR="00E9740B" w:rsidRPr="00E9740B">
        <w:rPr>
          <w:rStyle w:val="Strong"/>
          <w:rFonts w:ascii="Times New Roman" w:hAnsi="Times New Roman" w:cs="Times New Roman"/>
          <w:b w:val="0"/>
          <w:sz w:val="24"/>
          <w:szCs w:val="24"/>
        </w:rPr>
        <w:t>Department of Pure and Industrial Chemistry, Bayero University Kano</w:t>
      </w:r>
      <w:r w:rsidR="00E9740B" w:rsidRPr="00E9740B">
        <w:rPr>
          <w:rFonts w:ascii="Times New Roman" w:hAnsi="Times New Roman" w:cs="Times New Roman"/>
          <w:sz w:val="24"/>
          <w:szCs w:val="24"/>
        </w:rPr>
        <w:t>, for providing the laboratory facilities and technical support requ</w:t>
      </w:r>
      <w:r>
        <w:rPr>
          <w:rFonts w:ascii="Times New Roman" w:hAnsi="Times New Roman" w:cs="Times New Roman"/>
          <w:sz w:val="24"/>
          <w:szCs w:val="24"/>
        </w:rPr>
        <w:t>ired for this study. The author</w:t>
      </w:r>
      <w:r w:rsidR="00E9740B" w:rsidRPr="00E9740B">
        <w:rPr>
          <w:rFonts w:ascii="Times New Roman" w:hAnsi="Times New Roman" w:cs="Times New Roman"/>
          <w:sz w:val="24"/>
          <w:szCs w:val="24"/>
        </w:rPr>
        <w:t xml:space="preserve"> also acknowledge the assistance of the microbiology laboratory staff during the antimicrobial investigations.</w:t>
      </w:r>
    </w:p>
    <w:p w:rsidR="00E9740B" w:rsidRPr="00E9740B" w:rsidRDefault="00E9740B" w:rsidP="005F2D1E">
      <w:pPr>
        <w:spacing w:line="240" w:lineRule="auto"/>
        <w:jc w:val="both"/>
        <w:rPr>
          <w:rStyle w:val="Strong"/>
          <w:rFonts w:ascii="Times New Roman" w:hAnsi="Times New Roman" w:cs="Times New Roman"/>
          <w:bCs w:val="0"/>
          <w:sz w:val="24"/>
          <w:szCs w:val="24"/>
        </w:rPr>
      </w:pPr>
      <w:r w:rsidRPr="00E9740B">
        <w:rPr>
          <w:rStyle w:val="Strong"/>
          <w:rFonts w:ascii="Times New Roman" w:hAnsi="Times New Roman" w:cs="Times New Roman"/>
          <w:bCs w:val="0"/>
          <w:sz w:val="24"/>
          <w:szCs w:val="24"/>
        </w:rPr>
        <w:t>Funding</w:t>
      </w:r>
    </w:p>
    <w:p w:rsidR="00E9740B" w:rsidRPr="00E9740B" w:rsidRDefault="001E3684" w:rsidP="00E9740B">
      <w:pPr>
        <w:spacing w:line="480" w:lineRule="auto"/>
        <w:jc w:val="both"/>
        <w:rPr>
          <w:rFonts w:ascii="Times New Roman" w:hAnsi="Times New Roman" w:cs="Times New Roman"/>
          <w:sz w:val="24"/>
          <w:szCs w:val="24"/>
        </w:rPr>
      </w:pPr>
      <w:r>
        <w:rPr>
          <w:rFonts w:ascii="Times New Roman" w:hAnsi="Times New Roman" w:cs="Times New Roman"/>
          <w:sz w:val="24"/>
          <w:szCs w:val="24"/>
        </w:rPr>
        <w:t>The author</w:t>
      </w:r>
      <w:bookmarkStart w:id="0" w:name="_GoBack"/>
      <w:bookmarkEnd w:id="0"/>
      <w:r w:rsidR="00E9740B" w:rsidRPr="00E9740B">
        <w:rPr>
          <w:rFonts w:ascii="Times New Roman" w:hAnsi="Times New Roman" w:cs="Times New Roman"/>
          <w:sz w:val="24"/>
          <w:szCs w:val="24"/>
        </w:rPr>
        <w:t xml:space="preserve"> declare that this research received no specific financial support from funding agencies in the public, commercial, or not-for-profit sectors.</w:t>
      </w:r>
    </w:p>
    <w:p w:rsidR="00E9740B" w:rsidRPr="00E9740B" w:rsidRDefault="00E9740B" w:rsidP="005F2D1E">
      <w:pPr>
        <w:spacing w:line="240" w:lineRule="auto"/>
        <w:jc w:val="both"/>
        <w:rPr>
          <w:rStyle w:val="Strong"/>
          <w:rFonts w:ascii="Times New Roman" w:hAnsi="Times New Roman" w:cs="Times New Roman"/>
          <w:bCs w:val="0"/>
          <w:sz w:val="24"/>
          <w:szCs w:val="24"/>
        </w:rPr>
      </w:pPr>
      <w:r w:rsidRPr="00E9740B">
        <w:rPr>
          <w:rStyle w:val="Strong"/>
          <w:rFonts w:ascii="Times New Roman" w:hAnsi="Times New Roman" w:cs="Times New Roman"/>
          <w:bCs w:val="0"/>
          <w:sz w:val="24"/>
          <w:szCs w:val="24"/>
        </w:rPr>
        <w:t>Ethics Approval and Consent to Participate</w:t>
      </w:r>
    </w:p>
    <w:p w:rsidR="00E9740B" w:rsidRPr="00E9740B" w:rsidRDefault="00E9740B" w:rsidP="00E9740B">
      <w:pPr>
        <w:spacing w:line="480" w:lineRule="auto"/>
        <w:jc w:val="both"/>
        <w:rPr>
          <w:rFonts w:ascii="Times New Roman" w:hAnsi="Times New Roman" w:cs="Times New Roman"/>
          <w:sz w:val="24"/>
          <w:szCs w:val="24"/>
        </w:rPr>
      </w:pPr>
      <w:r w:rsidRPr="00E9740B">
        <w:rPr>
          <w:rFonts w:ascii="Times New Roman" w:hAnsi="Times New Roman" w:cs="Times New Roman"/>
          <w:sz w:val="24"/>
          <w:szCs w:val="24"/>
        </w:rPr>
        <w:t>This study did not involve human participants or experimental animals. Ethical approval and consent to participate were therefore not required.</w:t>
      </w:r>
    </w:p>
    <w:p w:rsidR="00E9740B" w:rsidRPr="00E9740B" w:rsidRDefault="00E9740B" w:rsidP="005F2D1E">
      <w:pPr>
        <w:spacing w:line="240" w:lineRule="auto"/>
        <w:jc w:val="both"/>
        <w:rPr>
          <w:rStyle w:val="Strong"/>
          <w:rFonts w:ascii="Times New Roman" w:hAnsi="Times New Roman" w:cs="Times New Roman"/>
          <w:bCs w:val="0"/>
          <w:sz w:val="24"/>
          <w:szCs w:val="24"/>
        </w:rPr>
      </w:pPr>
      <w:r w:rsidRPr="00E9740B">
        <w:rPr>
          <w:rStyle w:val="Strong"/>
          <w:rFonts w:ascii="Times New Roman" w:hAnsi="Times New Roman" w:cs="Times New Roman"/>
          <w:bCs w:val="0"/>
          <w:sz w:val="24"/>
          <w:szCs w:val="24"/>
        </w:rPr>
        <w:t>Consent to Publish</w:t>
      </w:r>
    </w:p>
    <w:p w:rsidR="00E9740B" w:rsidRPr="00E9740B" w:rsidRDefault="00E9740B" w:rsidP="00E9740B">
      <w:pPr>
        <w:spacing w:line="480" w:lineRule="auto"/>
        <w:jc w:val="both"/>
        <w:rPr>
          <w:rFonts w:ascii="Times New Roman" w:eastAsiaTheme="minorEastAsia" w:hAnsi="Times New Roman" w:cs="Times New Roman"/>
          <w:sz w:val="24"/>
          <w:szCs w:val="24"/>
        </w:rPr>
      </w:pPr>
      <w:r w:rsidRPr="00E9740B">
        <w:rPr>
          <w:rFonts w:ascii="Times New Roman" w:hAnsi="Times New Roman" w:cs="Times New Roman"/>
          <w:sz w:val="24"/>
          <w:szCs w:val="24"/>
        </w:rPr>
        <w:t>Not applicable.</w:t>
      </w:r>
    </w:p>
    <w:p w:rsidR="00BD7CA4" w:rsidRPr="00A318E8" w:rsidRDefault="00695E5F" w:rsidP="005F2D1E">
      <w:pPr>
        <w:spacing w:line="240" w:lineRule="auto"/>
        <w:rPr>
          <w:rFonts w:ascii="Times New Roman" w:eastAsiaTheme="minorEastAsia" w:hAnsi="Times New Roman" w:cs="Times New Roman"/>
          <w:b/>
          <w:sz w:val="24"/>
          <w:szCs w:val="24"/>
        </w:rPr>
      </w:pPr>
      <w:r w:rsidRPr="00A318E8">
        <w:rPr>
          <w:rFonts w:ascii="Times New Roman" w:eastAsiaTheme="minorEastAsia" w:hAnsi="Times New Roman" w:cs="Times New Roman"/>
          <w:b/>
          <w:sz w:val="24"/>
          <w:szCs w:val="24"/>
        </w:rPr>
        <w:t xml:space="preserve">REFERENCES </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Abdullah, H. Y., Ali, M. S.,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Mahmood, S. (2022). Thiosemicarbazone-based Schiff bases: Structural and biological insights. </w:t>
      </w:r>
      <w:r w:rsidRPr="00A318E8">
        <w:rPr>
          <w:rFonts w:ascii="Times New Roman" w:eastAsia="Times New Roman" w:hAnsi="Times New Roman" w:cs="Times New Roman"/>
          <w:i/>
          <w:iCs/>
          <w:sz w:val="24"/>
          <w:szCs w:val="24"/>
          <w:lang w:eastAsia="en-GB"/>
        </w:rPr>
        <w:t>Polyhedron, 182</w:t>
      </w:r>
      <w:r w:rsidRPr="00A318E8">
        <w:rPr>
          <w:rFonts w:ascii="Times New Roman" w:eastAsia="Times New Roman" w:hAnsi="Times New Roman" w:cs="Times New Roman"/>
          <w:sz w:val="24"/>
          <w:szCs w:val="24"/>
          <w:lang w:eastAsia="en-GB"/>
        </w:rPr>
        <w:t>, 114430.</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Abebe, A.,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Hailemariam, T. (2016). Metal chelation and antimicrobial activity of Schiff base complexes. </w:t>
      </w:r>
      <w:r w:rsidRPr="00A318E8">
        <w:rPr>
          <w:rFonts w:ascii="Times New Roman" w:eastAsia="Times New Roman" w:hAnsi="Times New Roman" w:cs="Times New Roman"/>
          <w:i/>
          <w:iCs/>
          <w:sz w:val="24"/>
          <w:szCs w:val="24"/>
          <w:lang w:eastAsia="en-GB"/>
        </w:rPr>
        <w:t>Journal of Coordination Chemistry, 69</w:t>
      </w:r>
      <w:r w:rsidRPr="00A318E8">
        <w:rPr>
          <w:rFonts w:ascii="Times New Roman" w:eastAsia="Times New Roman" w:hAnsi="Times New Roman" w:cs="Times New Roman"/>
          <w:sz w:val="24"/>
          <w:szCs w:val="24"/>
          <w:lang w:eastAsia="en-GB"/>
        </w:rPr>
        <w:t>(15), 2345–2358.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Alhadlaq, A., Alshammari, F., Alqahtani, S.,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Alenazi, M. (2024). Antimicrobial resistance trends in Gram-negative bacteria. </w:t>
      </w:r>
      <w:r w:rsidRPr="00A318E8">
        <w:rPr>
          <w:rFonts w:ascii="Times New Roman" w:eastAsia="Times New Roman" w:hAnsi="Times New Roman" w:cs="Times New Roman"/>
          <w:i/>
          <w:iCs/>
          <w:sz w:val="24"/>
          <w:szCs w:val="24"/>
          <w:lang w:eastAsia="en-GB"/>
        </w:rPr>
        <w:t>Infection and Drug Resistance, 17</w:t>
      </w:r>
      <w:r w:rsidRPr="00A318E8">
        <w:rPr>
          <w:rFonts w:ascii="Times New Roman" w:eastAsia="Times New Roman" w:hAnsi="Times New Roman" w:cs="Times New Roman"/>
          <w:sz w:val="24"/>
          <w:szCs w:val="24"/>
          <w:lang w:eastAsia="en-GB"/>
        </w:rPr>
        <w:t>, 1123–1135.</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lastRenderedPageBreak/>
        <w:t xml:space="preserve">Balouiri, M., Sadiki, M.,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Ibnsouda, S. K. (2016). Methods for in vitro evaluating antimicrobial activity: A review. </w:t>
      </w:r>
      <w:r w:rsidRPr="00A318E8">
        <w:rPr>
          <w:rFonts w:ascii="Times New Roman" w:eastAsia="Times New Roman" w:hAnsi="Times New Roman" w:cs="Times New Roman"/>
          <w:i/>
          <w:iCs/>
          <w:sz w:val="24"/>
          <w:szCs w:val="24"/>
          <w:lang w:eastAsia="en-GB"/>
        </w:rPr>
        <w:t>Journal of Pharmaceutical Analysis, 6</w:t>
      </w:r>
      <w:r w:rsidRPr="00A318E8">
        <w:rPr>
          <w:rFonts w:ascii="Times New Roman" w:eastAsia="Times New Roman" w:hAnsi="Times New Roman" w:cs="Times New Roman"/>
          <w:sz w:val="24"/>
          <w:szCs w:val="24"/>
          <w:lang w:eastAsia="en-GB"/>
        </w:rPr>
        <w:t>(2), 71–79.</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Bernardi, F., Costa, G., Rossi, P.,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Conti, L. (2023). Chelation and membrane permeability of metal complexes. </w:t>
      </w:r>
      <w:r w:rsidRPr="00A318E8">
        <w:rPr>
          <w:rFonts w:ascii="Times New Roman" w:eastAsia="Times New Roman" w:hAnsi="Times New Roman" w:cs="Times New Roman"/>
          <w:i/>
          <w:iCs/>
          <w:sz w:val="24"/>
          <w:szCs w:val="24"/>
          <w:lang w:eastAsia="en-GB"/>
        </w:rPr>
        <w:t>Bioinorganic Chemistry and Applications, 2023</w:t>
      </w:r>
      <w:r w:rsidRPr="00A318E8">
        <w:rPr>
          <w:rFonts w:ascii="Times New Roman" w:eastAsia="Times New Roman" w:hAnsi="Times New Roman" w:cs="Times New Roman"/>
          <w:sz w:val="24"/>
          <w:szCs w:val="24"/>
          <w:lang w:eastAsia="en-GB"/>
        </w:rPr>
        <w:t>, Article 458912.</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Bhowmik, D., Chakraborty, S., Ghosh, A.,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Banerjee, P. (2023). Cell wall permeability differences in Gram-positive and Gram-negative bacteria. </w:t>
      </w:r>
      <w:r w:rsidRPr="00A318E8">
        <w:rPr>
          <w:rFonts w:ascii="Times New Roman" w:eastAsia="Times New Roman" w:hAnsi="Times New Roman" w:cs="Times New Roman"/>
          <w:i/>
          <w:iCs/>
          <w:sz w:val="24"/>
          <w:szCs w:val="24"/>
          <w:lang w:eastAsia="en-GB"/>
        </w:rPr>
        <w:t>Journal of Molecular Microbiology, 58</w:t>
      </w:r>
      <w:r w:rsidRPr="00A318E8">
        <w:rPr>
          <w:rFonts w:ascii="Times New Roman" w:eastAsia="Times New Roman" w:hAnsi="Times New Roman" w:cs="Times New Roman"/>
          <w:sz w:val="24"/>
          <w:szCs w:val="24"/>
          <w:lang w:eastAsia="en-GB"/>
        </w:rPr>
        <w:t>, 211–225.</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Datok, A., Bello, M.,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Hassan, R. (2021). Antibiotic misuse and resistance in developing countries. </w:t>
      </w:r>
      <w:r w:rsidRPr="00A318E8">
        <w:rPr>
          <w:rFonts w:ascii="Times New Roman" w:eastAsia="Times New Roman" w:hAnsi="Times New Roman" w:cs="Times New Roman"/>
          <w:i/>
          <w:iCs/>
          <w:sz w:val="24"/>
          <w:szCs w:val="24"/>
          <w:lang w:eastAsia="en-GB"/>
        </w:rPr>
        <w:t>Public Health Reviews, 42</w:t>
      </w:r>
      <w:r w:rsidRPr="00A318E8">
        <w:rPr>
          <w:rFonts w:ascii="Times New Roman" w:eastAsia="Times New Roman" w:hAnsi="Times New Roman" w:cs="Times New Roman"/>
          <w:sz w:val="24"/>
          <w:szCs w:val="24"/>
          <w:lang w:eastAsia="en-GB"/>
        </w:rPr>
        <w:t>, 160399.</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Dilworth, J. R. (2016). Metal-based antimicrobial agents. </w:t>
      </w:r>
      <w:r w:rsidRPr="00A318E8">
        <w:rPr>
          <w:rFonts w:ascii="Times New Roman" w:eastAsia="Times New Roman" w:hAnsi="Times New Roman" w:cs="Times New Roman"/>
          <w:i/>
          <w:iCs/>
          <w:sz w:val="24"/>
          <w:szCs w:val="24"/>
          <w:lang w:eastAsia="en-GB"/>
        </w:rPr>
        <w:t>Coordination Chemistry Reviews, 320–321</w:t>
      </w:r>
      <w:r w:rsidRPr="00A318E8">
        <w:rPr>
          <w:rFonts w:ascii="Times New Roman" w:eastAsia="Times New Roman" w:hAnsi="Times New Roman" w:cs="Times New Roman"/>
          <w:sz w:val="24"/>
          <w:szCs w:val="24"/>
          <w:lang w:eastAsia="en-GB"/>
        </w:rPr>
        <w:t>, 37–51.</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Gupta, R. K., Mehta, P.,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Kaur, S. (2022). Schiff base metal complexes: Thermal and biological properties. </w:t>
      </w:r>
      <w:r w:rsidRPr="00A318E8">
        <w:rPr>
          <w:rFonts w:ascii="Times New Roman" w:eastAsia="Times New Roman" w:hAnsi="Times New Roman" w:cs="Times New Roman"/>
          <w:i/>
          <w:iCs/>
          <w:sz w:val="24"/>
          <w:szCs w:val="24"/>
          <w:lang w:eastAsia="en-GB"/>
        </w:rPr>
        <w:t>Journal of Coordination Chemistry, 75</w:t>
      </w:r>
      <w:r w:rsidRPr="00A318E8">
        <w:rPr>
          <w:rFonts w:ascii="Times New Roman" w:eastAsia="Times New Roman" w:hAnsi="Times New Roman" w:cs="Times New Roman"/>
          <w:sz w:val="24"/>
          <w:szCs w:val="24"/>
          <w:lang w:eastAsia="en-GB"/>
        </w:rPr>
        <w:t>(4), 512–526.</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Hancock, J.,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Bartolotti, L. (2013). Lipophilicity and metal complex permeability. </w:t>
      </w:r>
      <w:r w:rsidRPr="00A318E8">
        <w:rPr>
          <w:rFonts w:ascii="Times New Roman" w:eastAsia="Times New Roman" w:hAnsi="Times New Roman" w:cs="Times New Roman"/>
          <w:i/>
          <w:iCs/>
          <w:sz w:val="24"/>
          <w:szCs w:val="24"/>
          <w:lang w:eastAsia="en-GB"/>
        </w:rPr>
        <w:t>Journal of Biological Inorganic Chemistry, 18</w:t>
      </w:r>
      <w:r w:rsidRPr="00A318E8">
        <w:rPr>
          <w:rFonts w:ascii="Times New Roman" w:eastAsia="Times New Roman" w:hAnsi="Times New Roman" w:cs="Times New Roman"/>
          <w:sz w:val="24"/>
          <w:szCs w:val="24"/>
          <w:lang w:eastAsia="en-GB"/>
        </w:rPr>
        <w:t>(3), 345–356.</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Institute for Health Metrics and Evaluation. (2023). </w:t>
      </w:r>
      <w:r w:rsidRPr="00A318E8">
        <w:rPr>
          <w:rFonts w:ascii="Times New Roman" w:eastAsia="Times New Roman" w:hAnsi="Times New Roman" w:cs="Times New Roman"/>
          <w:i/>
          <w:iCs/>
          <w:sz w:val="24"/>
          <w:szCs w:val="24"/>
          <w:lang w:eastAsia="en-GB"/>
        </w:rPr>
        <w:t>Global antimicrobial resistance burden</w:t>
      </w:r>
      <w:r w:rsidRPr="00A318E8">
        <w:rPr>
          <w:rFonts w:ascii="Times New Roman" w:eastAsia="Times New Roman" w:hAnsi="Times New Roman" w:cs="Times New Roman"/>
          <w:sz w:val="24"/>
          <w:szCs w:val="24"/>
          <w:lang w:eastAsia="en-GB"/>
        </w:rPr>
        <w:t>. IHME.</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Imade, P., Omoregie, R.,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Eghafona, N. (2024). Diagnostic limitations and antimicrobial resistance in Nigeria. </w:t>
      </w:r>
      <w:r w:rsidRPr="00A318E8">
        <w:rPr>
          <w:rFonts w:ascii="Times New Roman" w:eastAsia="Times New Roman" w:hAnsi="Times New Roman" w:cs="Times New Roman"/>
          <w:i/>
          <w:iCs/>
          <w:sz w:val="24"/>
          <w:szCs w:val="24"/>
          <w:lang w:eastAsia="en-GB"/>
        </w:rPr>
        <w:t>African Journal of Clinical Microbiology, 25</w:t>
      </w:r>
      <w:r w:rsidRPr="00A318E8">
        <w:rPr>
          <w:rFonts w:ascii="Times New Roman" w:eastAsia="Times New Roman" w:hAnsi="Times New Roman" w:cs="Times New Roman"/>
          <w:sz w:val="24"/>
          <w:szCs w:val="24"/>
          <w:lang w:eastAsia="en-GB"/>
        </w:rPr>
        <w:t>, 45–53.</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Jones, L. N., Robinson, P.,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Lee, M. C. (2022). Catalytic and biological applications of Schiff base metal complexes. </w:t>
      </w:r>
      <w:r w:rsidRPr="00A318E8">
        <w:rPr>
          <w:rFonts w:ascii="Times New Roman" w:eastAsia="Times New Roman" w:hAnsi="Times New Roman" w:cs="Times New Roman"/>
          <w:i/>
          <w:iCs/>
          <w:sz w:val="24"/>
          <w:szCs w:val="24"/>
          <w:lang w:eastAsia="en-GB"/>
        </w:rPr>
        <w:t>Journal of Catalysis, 362</w:t>
      </w:r>
      <w:r w:rsidRPr="00A318E8">
        <w:rPr>
          <w:rFonts w:ascii="Times New Roman" w:eastAsia="Times New Roman" w:hAnsi="Times New Roman" w:cs="Times New Roman"/>
          <w:sz w:val="24"/>
          <w:szCs w:val="24"/>
          <w:lang w:eastAsia="en-GB"/>
        </w:rPr>
        <w:t>, 275–286.</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Karthika, S., Priya, P.,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Gomathi, T. (2024). UV–visible spectral studies of Schiff base metal complexes. </w:t>
      </w:r>
      <w:r w:rsidRPr="00A318E8">
        <w:rPr>
          <w:rFonts w:ascii="Times New Roman" w:eastAsia="Times New Roman" w:hAnsi="Times New Roman" w:cs="Times New Roman"/>
          <w:i/>
          <w:iCs/>
          <w:sz w:val="24"/>
          <w:szCs w:val="24"/>
          <w:lang w:eastAsia="en-GB"/>
        </w:rPr>
        <w:t>Indian Journal of Chemistry, 63</w:t>
      </w:r>
      <w:r w:rsidRPr="00A318E8">
        <w:rPr>
          <w:rFonts w:ascii="Times New Roman" w:eastAsia="Times New Roman" w:hAnsi="Times New Roman" w:cs="Times New Roman"/>
          <w:sz w:val="24"/>
          <w:szCs w:val="24"/>
          <w:lang w:eastAsia="en-GB"/>
        </w:rPr>
        <w:t>, 112–120.</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Kaushik, M., Verma, R., Sharma, A.,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Singh, P. (2024). Hospital-acquired </w:t>
      </w:r>
      <w:r w:rsidRPr="00A318E8">
        <w:rPr>
          <w:rFonts w:ascii="Times New Roman" w:eastAsia="Times New Roman" w:hAnsi="Times New Roman" w:cs="Times New Roman"/>
          <w:i/>
          <w:iCs/>
          <w:sz w:val="24"/>
          <w:szCs w:val="24"/>
          <w:lang w:eastAsia="en-GB"/>
        </w:rPr>
        <w:t>Staphylococcus aureus</w:t>
      </w:r>
      <w:r w:rsidRPr="00A318E8">
        <w:rPr>
          <w:rFonts w:ascii="Times New Roman" w:eastAsia="Times New Roman" w:hAnsi="Times New Roman" w:cs="Times New Roman"/>
          <w:sz w:val="24"/>
          <w:szCs w:val="24"/>
          <w:lang w:eastAsia="en-GB"/>
        </w:rPr>
        <w:t xml:space="preserve"> infections. </w:t>
      </w:r>
      <w:r w:rsidRPr="00A318E8">
        <w:rPr>
          <w:rFonts w:ascii="Times New Roman" w:eastAsia="Times New Roman" w:hAnsi="Times New Roman" w:cs="Times New Roman"/>
          <w:i/>
          <w:iCs/>
          <w:sz w:val="24"/>
          <w:szCs w:val="24"/>
          <w:lang w:eastAsia="en-GB"/>
        </w:rPr>
        <w:t>Clinical Microbiology Reviews, 37</w:t>
      </w:r>
      <w:r w:rsidRPr="00A318E8">
        <w:rPr>
          <w:rFonts w:ascii="Times New Roman" w:eastAsia="Times New Roman" w:hAnsi="Times New Roman" w:cs="Times New Roman"/>
          <w:sz w:val="24"/>
          <w:szCs w:val="24"/>
          <w:lang w:eastAsia="en-GB"/>
        </w:rPr>
        <w:t>, e00123-23.</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Kavai, J., Martins, L.,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Lopez, D. (2024). Multidrug-resistant </w:t>
      </w:r>
      <w:r w:rsidRPr="00A318E8">
        <w:rPr>
          <w:rFonts w:ascii="Times New Roman" w:eastAsia="Times New Roman" w:hAnsi="Times New Roman" w:cs="Times New Roman"/>
          <w:i/>
          <w:iCs/>
          <w:sz w:val="24"/>
          <w:szCs w:val="24"/>
          <w:lang w:eastAsia="en-GB"/>
        </w:rPr>
        <w:t>Salmonella</w:t>
      </w:r>
      <w:r w:rsidRPr="00A318E8">
        <w:rPr>
          <w:rFonts w:ascii="Times New Roman" w:eastAsia="Times New Roman" w:hAnsi="Times New Roman" w:cs="Times New Roman"/>
          <w:sz w:val="24"/>
          <w:szCs w:val="24"/>
          <w:lang w:eastAsia="en-GB"/>
        </w:rPr>
        <w:t xml:space="preserve"> species. </w:t>
      </w:r>
      <w:r w:rsidRPr="00A318E8">
        <w:rPr>
          <w:rFonts w:ascii="Times New Roman" w:eastAsia="Times New Roman" w:hAnsi="Times New Roman" w:cs="Times New Roman"/>
          <w:i/>
          <w:iCs/>
          <w:sz w:val="24"/>
          <w:szCs w:val="24"/>
          <w:lang w:eastAsia="en-GB"/>
        </w:rPr>
        <w:t>Journal of Infection, 88</w:t>
      </w:r>
      <w:r w:rsidRPr="00A318E8">
        <w:rPr>
          <w:rFonts w:ascii="Times New Roman" w:eastAsia="Times New Roman" w:hAnsi="Times New Roman" w:cs="Times New Roman"/>
          <w:sz w:val="24"/>
          <w:szCs w:val="24"/>
          <w:lang w:eastAsia="en-GB"/>
        </w:rPr>
        <w:t>, 45–54.</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Lee, J., Kim, H., Park, S.,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Choi, Y. (2014). Zinc complexes and DNA interaction mechanisms. </w:t>
      </w:r>
      <w:r w:rsidRPr="00A318E8">
        <w:rPr>
          <w:rFonts w:ascii="Times New Roman" w:eastAsia="Times New Roman" w:hAnsi="Times New Roman" w:cs="Times New Roman"/>
          <w:i/>
          <w:iCs/>
          <w:sz w:val="24"/>
          <w:szCs w:val="24"/>
          <w:lang w:eastAsia="en-GB"/>
        </w:rPr>
        <w:t>Journal of Inorganic Biochemistry, 137</w:t>
      </w:r>
      <w:r w:rsidRPr="00A318E8">
        <w:rPr>
          <w:rFonts w:ascii="Times New Roman" w:eastAsia="Times New Roman" w:hAnsi="Times New Roman" w:cs="Times New Roman"/>
          <w:sz w:val="24"/>
          <w:szCs w:val="24"/>
          <w:lang w:eastAsia="en-GB"/>
        </w:rPr>
        <w:t>, 68–75.</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Liu, Y., Zhang, L., Wang, H.,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Chen, Z. (2024). Reactive oxygen species generation by Cu(II) complexes. </w:t>
      </w:r>
      <w:r w:rsidRPr="00A318E8">
        <w:rPr>
          <w:rFonts w:ascii="Times New Roman" w:eastAsia="Times New Roman" w:hAnsi="Times New Roman" w:cs="Times New Roman"/>
          <w:i/>
          <w:iCs/>
          <w:sz w:val="24"/>
          <w:szCs w:val="24"/>
          <w:lang w:eastAsia="en-GB"/>
        </w:rPr>
        <w:t>Journal of Molecular Medicine, 102</w:t>
      </w:r>
      <w:r w:rsidRPr="00A318E8">
        <w:rPr>
          <w:rFonts w:ascii="Times New Roman" w:eastAsia="Times New Roman" w:hAnsi="Times New Roman" w:cs="Times New Roman"/>
          <w:sz w:val="24"/>
          <w:szCs w:val="24"/>
          <w:lang w:eastAsia="en-GB"/>
        </w:rPr>
        <w:t>, 789–801.</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Manozca-Dosman, R., Alvarez, P.,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Silva, M. (2025). Nickel complexes and antimicrobial efficacy. </w:t>
      </w:r>
      <w:r w:rsidRPr="00A318E8">
        <w:rPr>
          <w:rFonts w:ascii="Times New Roman" w:eastAsia="Times New Roman" w:hAnsi="Times New Roman" w:cs="Times New Roman"/>
          <w:i/>
          <w:iCs/>
          <w:sz w:val="24"/>
          <w:szCs w:val="24"/>
          <w:lang w:eastAsia="en-GB"/>
        </w:rPr>
        <w:t>Bioinorganic Chemistry and Applications, 2025</w:t>
      </w:r>
      <w:r w:rsidRPr="00A318E8">
        <w:rPr>
          <w:rFonts w:ascii="Times New Roman" w:eastAsia="Times New Roman" w:hAnsi="Times New Roman" w:cs="Times New Roman"/>
          <w:sz w:val="24"/>
          <w:szCs w:val="24"/>
          <w:lang w:eastAsia="en-GB"/>
        </w:rPr>
        <w:t>, Article 114512.</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lastRenderedPageBreak/>
        <w:t xml:space="preserve">Mohan, C., Kumar, V.,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Kumara, S. (2018). Synthesis and antibacterial activity of Schiff base metal complexes. </w:t>
      </w:r>
      <w:r w:rsidRPr="00A318E8">
        <w:rPr>
          <w:rFonts w:ascii="Times New Roman" w:eastAsia="Times New Roman" w:hAnsi="Times New Roman" w:cs="Times New Roman"/>
          <w:i/>
          <w:iCs/>
          <w:sz w:val="24"/>
          <w:szCs w:val="24"/>
          <w:lang w:eastAsia="en-GB"/>
        </w:rPr>
        <w:t>International Research Journal of Pharmacy, 9</w:t>
      </w:r>
      <w:r w:rsidRPr="00A318E8">
        <w:rPr>
          <w:rFonts w:ascii="Times New Roman" w:eastAsia="Times New Roman" w:hAnsi="Times New Roman" w:cs="Times New Roman"/>
          <w:sz w:val="24"/>
          <w:szCs w:val="24"/>
          <w:lang w:eastAsia="en-GB"/>
        </w:rPr>
        <w:t>(7), 153–158.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Mouayed, A., &amp; Abduljaleel, A. (2024). Measurement of inhibition zones in antibacterial assays. </w:t>
      </w:r>
      <w:r w:rsidRPr="00A318E8">
        <w:rPr>
          <w:rFonts w:ascii="Times New Roman" w:eastAsia="Times New Roman" w:hAnsi="Times New Roman" w:cs="Times New Roman"/>
          <w:i/>
          <w:iCs/>
          <w:sz w:val="24"/>
          <w:szCs w:val="24"/>
          <w:lang w:eastAsia="en-GB"/>
        </w:rPr>
        <w:t>Journal of Applied Microbiology, 136</w:t>
      </w:r>
      <w:r w:rsidRPr="00A318E8">
        <w:rPr>
          <w:rFonts w:ascii="Times New Roman" w:eastAsia="Times New Roman" w:hAnsi="Times New Roman" w:cs="Times New Roman"/>
          <w:sz w:val="24"/>
          <w:szCs w:val="24"/>
          <w:lang w:eastAsia="en-GB"/>
        </w:rPr>
        <w:t>, 112–120.</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Murray, C. J. L., Ikuta, K. S., Sharara, F., Swetschinski, L., Robles Aguilar, G., Gray, A., et al. (2022). Global burden of bacterial antimicrobial resistance in 2019. </w:t>
      </w:r>
      <w:r w:rsidRPr="00A318E8">
        <w:rPr>
          <w:rFonts w:ascii="Times New Roman" w:eastAsia="Times New Roman" w:hAnsi="Times New Roman" w:cs="Times New Roman"/>
          <w:i/>
          <w:iCs/>
          <w:sz w:val="24"/>
          <w:szCs w:val="24"/>
          <w:lang w:eastAsia="en-GB"/>
        </w:rPr>
        <w:t>The Lancet, 399</w:t>
      </w:r>
      <w:r w:rsidRPr="00A318E8">
        <w:rPr>
          <w:rFonts w:ascii="Times New Roman" w:eastAsia="Times New Roman" w:hAnsi="Times New Roman" w:cs="Times New Roman"/>
          <w:sz w:val="24"/>
          <w:szCs w:val="24"/>
          <w:lang w:eastAsia="en-GB"/>
        </w:rPr>
        <w:t>, 629–655.</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Nigeria Centre for Disease Control. (2024). </w:t>
      </w:r>
      <w:r w:rsidRPr="00A318E8">
        <w:rPr>
          <w:rFonts w:ascii="Times New Roman" w:eastAsia="Times New Roman" w:hAnsi="Times New Roman" w:cs="Times New Roman"/>
          <w:i/>
          <w:iCs/>
          <w:sz w:val="24"/>
          <w:szCs w:val="24"/>
          <w:lang w:eastAsia="en-GB"/>
        </w:rPr>
        <w:t>National antimicrobial resistance surveillance report</w:t>
      </w:r>
      <w:r w:rsidRPr="00A318E8">
        <w:rPr>
          <w:rFonts w:ascii="Times New Roman" w:eastAsia="Times New Roman" w:hAnsi="Times New Roman" w:cs="Times New Roman"/>
          <w:sz w:val="24"/>
          <w:szCs w:val="24"/>
          <w:lang w:eastAsia="en-GB"/>
        </w:rPr>
        <w:t>. NCDC.</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Ngece, R., Otieno, J.,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Kamau, P. (2025). Copper-induced oxidative stress in bacteria. </w:t>
      </w:r>
      <w:r w:rsidRPr="00A318E8">
        <w:rPr>
          <w:rFonts w:ascii="Times New Roman" w:eastAsia="Times New Roman" w:hAnsi="Times New Roman" w:cs="Times New Roman"/>
          <w:i/>
          <w:iCs/>
          <w:sz w:val="24"/>
          <w:szCs w:val="24"/>
          <w:lang w:eastAsia="en-GB"/>
        </w:rPr>
        <w:t>Journal of Biological Inorganic Chemistry, 30</w:t>
      </w:r>
      <w:r w:rsidRPr="00A318E8">
        <w:rPr>
          <w:rFonts w:ascii="Times New Roman" w:eastAsia="Times New Roman" w:hAnsi="Times New Roman" w:cs="Times New Roman"/>
          <w:sz w:val="24"/>
          <w:szCs w:val="24"/>
          <w:lang w:eastAsia="en-GB"/>
        </w:rPr>
        <w:t>, 145–158.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Pathak, A., Sharma, S.,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Verma, P. (2017). Mechanisms of antimicrobial action of metal complexes. </w:t>
      </w:r>
      <w:r w:rsidRPr="00A318E8">
        <w:rPr>
          <w:rFonts w:ascii="Times New Roman" w:eastAsia="Times New Roman" w:hAnsi="Times New Roman" w:cs="Times New Roman"/>
          <w:i/>
          <w:iCs/>
          <w:sz w:val="24"/>
          <w:szCs w:val="24"/>
          <w:lang w:eastAsia="en-GB"/>
        </w:rPr>
        <w:t>Applied Biochemistry and Biotechnology, 182</w:t>
      </w:r>
      <w:r w:rsidRPr="00A318E8">
        <w:rPr>
          <w:rFonts w:ascii="Times New Roman" w:eastAsia="Times New Roman" w:hAnsi="Times New Roman" w:cs="Times New Roman"/>
          <w:sz w:val="24"/>
          <w:szCs w:val="24"/>
          <w:lang w:eastAsia="en-GB"/>
        </w:rPr>
        <w:t>, 1241–1256.</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Prestinaci, F., Pezzotti, P.,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Pantosti, A. (2015). Antimicrobial resistance: A global multifaceted phenomenon. </w:t>
      </w:r>
      <w:r w:rsidRPr="00A318E8">
        <w:rPr>
          <w:rFonts w:ascii="Times New Roman" w:eastAsia="Times New Roman" w:hAnsi="Times New Roman" w:cs="Times New Roman"/>
          <w:i/>
          <w:iCs/>
          <w:sz w:val="24"/>
          <w:szCs w:val="24"/>
          <w:lang w:eastAsia="en-GB"/>
        </w:rPr>
        <w:t>Pathogens and Global Health, 109</w:t>
      </w:r>
      <w:r w:rsidRPr="00A318E8">
        <w:rPr>
          <w:rFonts w:ascii="Times New Roman" w:eastAsia="Times New Roman" w:hAnsi="Times New Roman" w:cs="Times New Roman"/>
          <w:sz w:val="24"/>
          <w:szCs w:val="24"/>
          <w:lang w:eastAsia="en-GB"/>
        </w:rPr>
        <w:t>, 309–318.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Rahardjo, S., Putra, D.,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Santoso, B. (2020). Chelation theory and antimicrobial activity. </w:t>
      </w:r>
      <w:r w:rsidRPr="00A318E8">
        <w:rPr>
          <w:rFonts w:ascii="Times New Roman" w:eastAsia="Times New Roman" w:hAnsi="Times New Roman" w:cs="Times New Roman"/>
          <w:i/>
          <w:iCs/>
          <w:sz w:val="24"/>
          <w:szCs w:val="24"/>
          <w:lang w:eastAsia="en-GB"/>
        </w:rPr>
        <w:t>Journal of Molecular Structure, 1204</w:t>
      </w:r>
      <w:r w:rsidRPr="00A318E8">
        <w:rPr>
          <w:rFonts w:ascii="Times New Roman" w:eastAsia="Times New Roman" w:hAnsi="Times New Roman" w:cs="Times New Roman"/>
          <w:sz w:val="24"/>
          <w:szCs w:val="24"/>
          <w:lang w:eastAsia="en-GB"/>
        </w:rPr>
        <w:t>, 127512.</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Racheal, O., Yusuf, S.,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Ahmed, I. (2023). Agar well diffusion technique in antimicrobial studies. </w:t>
      </w:r>
      <w:r w:rsidRPr="00A318E8">
        <w:rPr>
          <w:rFonts w:ascii="Times New Roman" w:eastAsia="Times New Roman" w:hAnsi="Times New Roman" w:cs="Times New Roman"/>
          <w:i/>
          <w:iCs/>
          <w:sz w:val="24"/>
          <w:szCs w:val="24"/>
          <w:lang w:eastAsia="en-GB"/>
        </w:rPr>
        <w:t>African Journal of Microbiology Research, 17</w:t>
      </w:r>
      <w:r w:rsidRPr="00A318E8">
        <w:rPr>
          <w:rFonts w:ascii="Times New Roman" w:eastAsia="Times New Roman" w:hAnsi="Times New Roman" w:cs="Times New Roman"/>
          <w:sz w:val="24"/>
          <w:szCs w:val="24"/>
          <w:lang w:eastAsia="en-GB"/>
        </w:rPr>
        <w:t>(4), 89–96.</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Reichardt, C.,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Welton, T. (2022). </w:t>
      </w:r>
      <w:r w:rsidRPr="00A318E8">
        <w:rPr>
          <w:rFonts w:ascii="Times New Roman" w:eastAsia="Times New Roman" w:hAnsi="Times New Roman" w:cs="Times New Roman"/>
          <w:i/>
          <w:iCs/>
          <w:sz w:val="24"/>
          <w:szCs w:val="24"/>
          <w:lang w:eastAsia="en-GB"/>
        </w:rPr>
        <w:t>Solvents and solvent effects in organic chemistry</w:t>
      </w:r>
      <w:r w:rsidRPr="00A318E8">
        <w:rPr>
          <w:rFonts w:ascii="Times New Roman" w:eastAsia="Times New Roman" w:hAnsi="Times New Roman" w:cs="Times New Roman"/>
          <w:sz w:val="24"/>
          <w:szCs w:val="24"/>
          <w:lang w:eastAsia="en-GB"/>
        </w:rPr>
        <w:t xml:space="preserve"> (4th ed.). Wiley-VCH.</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Sharma, V. K., Reddy, M. S.,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Chandra, S. (2021). Solubility and non-electrolytic nature of metal chelates. </w:t>
      </w:r>
      <w:r w:rsidRPr="00A318E8">
        <w:rPr>
          <w:rFonts w:ascii="Times New Roman" w:eastAsia="Times New Roman" w:hAnsi="Times New Roman" w:cs="Times New Roman"/>
          <w:i/>
          <w:iCs/>
          <w:sz w:val="24"/>
          <w:szCs w:val="24"/>
          <w:lang w:eastAsia="en-GB"/>
        </w:rPr>
        <w:t>Journal of Molecular Liquids, 334</w:t>
      </w:r>
      <w:r w:rsidRPr="00A318E8">
        <w:rPr>
          <w:rFonts w:ascii="Times New Roman" w:eastAsia="Times New Roman" w:hAnsi="Times New Roman" w:cs="Times New Roman"/>
          <w:sz w:val="24"/>
          <w:szCs w:val="24"/>
          <w:lang w:eastAsia="en-GB"/>
        </w:rPr>
        <w:t>, 116071.</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Singh, A. K.,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Verma, R. (2022). Biological activity of metal Schiff base complexes. </w:t>
      </w:r>
      <w:r w:rsidRPr="00A318E8">
        <w:rPr>
          <w:rFonts w:ascii="Times New Roman" w:eastAsia="Times New Roman" w:hAnsi="Times New Roman" w:cs="Times New Roman"/>
          <w:i/>
          <w:iCs/>
          <w:sz w:val="24"/>
          <w:szCs w:val="24"/>
          <w:lang w:eastAsia="en-GB"/>
        </w:rPr>
        <w:t>Dalton Transactions, 51</w:t>
      </w:r>
      <w:r w:rsidRPr="00A318E8">
        <w:rPr>
          <w:rFonts w:ascii="Times New Roman" w:eastAsia="Times New Roman" w:hAnsi="Times New Roman" w:cs="Times New Roman"/>
          <w:sz w:val="24"/>
          <w:szCs w:val="24"/>
          <w:lang w:eastAsia="en-GB"/>
        </w:rPr>
        <w:t>, 11245–11258.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Tanim, A. (2024). Agar well diffusion method in antimicrobial screening. </w:t>
      </w:r>
      <w:r w:rsidRPr="00A318E8">
        <w:rPr>
          <w:rFonts w:ascii="Times New Roman" w:eastAsia="Times New Roman" w:hAnsi="Times New Roman" w:cs="Times New Roman"/>
          <w:i/>
          <w:iCs/>
          <w:sz w:val="24"/>
          <w:szCs w:val="24"/>
          <w:lang w:eastAsia="en-GB"/>
        </w:rPr>
        <w:t>Journal of Microbiological Methods, 215</w:t>
      </w:r>
      <w:r w:rsidRPr="00A318E8">
        <w:rPr>
          <w:rFonts w:ascii="Times New Roman" w:eastAsia="Times New Roman" w:hAnsi="Times New Roman" w:cs="Times New Roman"/>
          <w:sz w:val="24"/>
          <w:szCs w:val="24"/>
          <w:lang w:eastAsia="en-GB"/>
        </w:rPr>
        <w:t>, 106755.</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Tiwari, R., Singh, D.,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Mishra, P. (2017). Transition metal complexes and biological activity. </w:t>
      </w:r>
      <w:r w:rsidRPr="00A318E8">
        <w:rPr>
          <w:rFonts w:ascii="Times New Roman" w:eastAsia="Times New Roman" w:hAnsi="Times New Roman" w:cs="Times New Roman"/>
          <w:i/>
          <w:iCs/>
          <w:sz w:val="24"/>
          <w:szCs w:val="24"/>
          <w:lang w:eastAsia="en-GB"/>
        </w:rPr>
        <w:t>Journal of Chemical Sciences, 129</w:t>
      </w:r>
      <w:r w:rsidRPr="00A318E8">
        <w:rPr>
          <w:rFonts w:ascii="Times New Roman" w:eastAsia="Times New Roman" w:hAnsi="Times New Roman" w:cs="Times New Roman"/>
          <w:sz w:val="24"/>
          <w:szCs w:val="24"/>
          <w:lang w:eastAsia="en-GB"/>
        </w:rPr>
        <w:t>, 965–978.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Touaitia, S., Benali, M.,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Hadjazi, D. (2025). Methicillin-resistant </w:t>
      </w:r>
      <w:r w:rsidRPr="00A318E8">
        <w:rPr>
          <w:rFonts w:ascii="Times New Roman" w:eastAsia="Times New Roman" w:hAnsi="Times New Roman" w:cs="Times New Roman"/>
          <w:i/>
          <w:iCs/>
          <w:sz w:val="24"/>
          <w:szCs w:val="24"/>
          <w:lang w:eastAsia="en-GB"/>
        </w:rPr>
        <w:t>Staphylococcus aureus</w:t>
      </w:r>
      <w:r w:rsidRPr="00A318E8">
        <w:rPr>
          <w:rFonts w:ascii="Times New Roman" w:eastAsia="Times New Roman" w:hAnsi="Times New Roman" w:cs="Times New Roman"/>
          <w:sz w:val="24"/>
          <w:szCs w:val="24"/>
          <w:lang w:eastAsia="en-GB"/>
        </w:rPr>
        <w:t xml:space="preserve"> infections. </w:t>
      </w:r>
      <w:r w:rsidRPr="00A318E8">
        <w:rPr>
          <w:rFonts w:ascii="Times New Roman" w:eastAsia="Times New Roman" w:hAnsi="Times New Roman" w:cs="Times New Roman"/>
          <w:i/>
          <w:iCs/>
          <w:sz w:val="24"/>
          <w:szCs w:val="24"/>
          <w:lang w:eastAsia="en-GB"/>
        </w:rPr>
        <w:t>Frontiers in Microbiology, 16</w:t>
      </w:r>
      <w:r w:rsidRPr="00A318E8">
        <w:rPr>
          <w:rFonts w:ascii="Times New Roman" w:eastAsia="Times New Roman" w:hAnsi="Times New Roman" w:cs="Times New Roman"/>
          <w:sz w:val="24"/>
          <w:szCs w:val="24"/>
          <w:lang w:eastAsia="en-GB"/>
        </w:rPr>
        <w:t>, 129845.</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Usman, U.,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Bashir, A. (2022). Standardization of microbial inoculum using McFarland standards. </w:t>
      </w:r>
      <w:r w:rsidRPr="00A318E8">
        <w:rPr>
          <w:rFonts w:ascii="Times New Roman" w:eastAsia="Times New Roman" w:hAnsi="Times New Roman" w:cs="Times New Roman"/>
          <w:i/>
          <w:iCs/>
          <w:sz w:val="24"/>
          <w:szCs w:val="24"/>
          <w:lang w:eastAsia="en-GB"/>
        </w:rPr>
        <w:t>Nigerian Journal of Microbiology, 36</w:t>
      </w:r>
      <w:r w:rsidRPr="00A318E8">
        <w:rPr>
          <w:rFonts w:ascii="Times New Roman" w:eastAsia="Times New Roman" w:hAnsi="Times New Roman" w:cs="Times New Roman"/>
          <w:sz w:val="24"/>
          <w:szCs w:val="24"/>
          <w:lang w:eastAsia="en-GB"/>
        </w:rPr>
        <w:t>(2), 4891–4898.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lastRenderedPageBreak/>
        <w:t xml:space="preserve">World Health Organization Regional Office for Africa. (2024). </w:t>
      </w:r>
      <w:r w:rsidRPr="00A318E8">
        <w:rPr>
          <w:rFonts w:ascii="Times New Roman" w:eastAsia="Times New Roman" w:hAnsi="Times New Roman" w:cs="Times New Roman"/>
          <w:i/>
          <w:iCs/>
          <w:sz w:val="24"/>
          <w:szCs w:val="24"/>
          <w:lang w:eastAsia="en-GB"/>
        </w:rPr>
        <w:t>Antimicrobial resistance surveillance in Africa</w:t>
      </w:r>
      <w:r w:rsidRPr="00A318E8">
        <w:rPr>
          <w:rFonts w:ascii="Times New Roman" w:eastAsia="Times New Roman" w:hAnsi="Times New Roman" w:cs="Times New Roman"/>
          <w:sz w:val="24"/>
          <w:szCs w:val="24"/>
          <w:lang w:eastAsia="en-GB"/>
        </w:rPr>
        <w:t>. WHO AFRO.</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Wright, G. D. (2024). Bacterial resistance mechanisms and drug discovery. </w:t>
      </w:r>
      <w:r w:rsidRPr="00A318E8">
        <w:rPr>
          <w:rFonts w:ascii="Times New Roman" w:eastAsia="Times New Roman" w:hAnsi="Times New Roman" w:cs="Times New Roman"/>
          <w:i/>
          <w:iCs/>
          <w:sz w:val="24"/>
          <w:szCs w:val="24"/>
          <w:lang w:eastAsia="en-GB"/>
        </w:rPr>
        <w:t>Nature Reviews Microbiology, 22</w:t>
      </w:r>
      <w:r w:rsidRPr="00A318E8">
        <w:rPr>
          <w:rFonts w:ascii="Times New Roman" w:eastAsia="Times New Roman" w:hAnsi="Times New Roman" w:cs="Times New Roman"/>
          <w:sz w:val="24"/>
          <w:szCs w:val="24"/>
          <w:lang w:eastAsia="en-GB"/>
        </w:rPr>
        <w:t>, 81–94.</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Zavaroni, C., Ricci, M.,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Bianchi, F. (2025). Comparative antimicrobial activity of metal complexes. </w:t>
      </w:r>
      <w:r w:rsidRPr="00A318E8">
        <w:rPr>
          <w:rFonts w:ascii="Times New Roman" w:eastAsia="Times New Roman" w:hAnsi="Times New Roman" w:cs="Times New Roman"/>
          <w:i/>
          <w:iCs/>
          <w:sz w:val="24"/>
          <w:szCs w:val="24"/>
          <w:lang w:eastAsia="en-GB"/>
        </w:rPr>
        <w:t>Inorganica Chimica Acta, 559</w:t>
      </w:r>
      <w:r w:rsidRPr="00A318E8">
        <w:rPr>
          <w:rFonts w:ascii="Times New Roman" w:eastAsia="Times New Roman" w:hAnsi="Times New Roman" w:cs="Times New Roman"/>
          <w:sz w:val="24"/>
          <w:szCs w:val="24"/>
          <w:lang w:eastAsia="en-GB"/>
        </w:rPr>
        <w:t>, 121987.</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hAnsi="Times New Roman" w:cs="Times New Roman"/>
          <w:sz w:val="24"/>
          <w:szCs w:val="24"/>
        </w:rPr>
        <w:t xml:space="preserve">Li, X., Zhao, Y., </w:t>
      </w:r>
      <w:r w:rsidR="00E9740B">
        <w:rPr>
          <w:rFonts w:ascii="Times New Roman" w:hAnsi="Times New Roman" w:cs="Times New Roman"/>
          <w:sz w:val="24"/>
          <w:szCs w:val="24"/>
        </w:rPr>
        <w:t>and</w:t>
      </w:r>
      <w:r w:rsidRPr="00A318E8">
        <w:rPr>
          <w:rFonts w:ascii="Times New Roman" w:hAnsi="Times New Roman" w:cs="Times New Roman"/>
          <w:sz w:val="24"/>
          <w:szCs w:val="24"/>
        </w:rPr>
        <w:t xml:space="preserve"> Chen, H. (2023). Solubility and electronic properties of transition metal complexes with Schiff base ligands. </w:t>
      </w:r>
      <w:r w:rsidRPr="00A318E8">
        <w:rPr>
          <w:rStyle w:val="Emphasis"/>
          <w:rFonts w:ascii="Times New Roman" w:hAnsi="Times New Roman" w:cs="Times New Roman"/>
          <w:sz w:val="24"/>
          <w:szCs w:val="24"/>
        </w:rPr>
        <w:t>Journal of Molecular Liquids, 347</w:t>
      </w:r>
      <w:r w:rsidRPr="00A318E8">
        <w:rPr>
          <w:rFonts w:ascii="Times New Roman" w:hAnsi="Times New Roman" w:cs="Times New Roman"/>
          <w:sz w:val="24"/>
          <w:szCs w:val="24"/>
        </w:rPr>
        <w:t xml:space="preserve">, 117805. </w:t>
      </w:r>
      <w:hyperlink r:id="rId21" w:history="1">
        <w:r w:rsidRPr="00A318E8">
          <w:rPr>
            <w:rStyle w:val="Hyperlink"/>
            <w:rFonts w:ascii="Times New Roman" w:hAnsi="Times New Roman" w:cs="Times New Roman"/>
            <w:color w:val="auto"/>
            <w:sz w:val="24"/>
            <w:szCs w:val="24"/>
            <w:u w:val="none"/>
          </w:rPr>
          <w:t>https://doi.org/10.1016/j.molliq.2022.117805</w:t>
        </w:r>
      </w:hyperlink>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Sayeed, A., Na’aliya, J.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Ethan, W. (2022) Synthesis, Characterization and Antimicrobial Studies of Metal(II) complexes with 4-methoxybenzaldehyde with p-anisidine, Global Journal of Pure and Applied Chemistry Research, 10 (1), 23-38.</w:t>
      </w:r>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imes New Roman" w:hAnsi="Times New Roman" w:cs="Times New Roman"/>
          <w:sz w:val="24"/>
          <w:szCs w:val="24"/>
          <w:lang w:eastAsia="en-GB"/>
        </w:rPr>
        <w:t xml:space="preserve">Qureshi, J. A., Khan, M. R., </w:t>
      </w:r>
      <w:r w:rsidR="00E9740B">
        <w:rPr>
          <w:rFonts w:ascii="Times New Roman" w:eastAsia="Times New Roman" w:hAnsi="Times New Roman" w:cs="Times New Roman"/>
          <w:sz w:val="24"/>
          <w:szCs w:val="24"/>
          <w:lang w:eastAsia="en-GB"/>
        </w:rPr>
        <w:t>and</w:t>
      </w:r>
      <w:r w:rsidRPr="00A318E8">
        <w:rPr>
          <w:rFonts w:ascii="Times New Roman" w:eastAsia="Times New Roman" w:hAnsi="Times New Roman" w:cs="Times New Roman"/>
          <w:sz w:val="24"/>
          <w:szCs w:val="24"/>
          <w:lang w:eastAsia="en-GB"/>
        </w:rPr>
        <w:t xml:space="preserve"> Ahmed, S. (2023). </w:t>
      </w:r>
      <w:r w:rsidRPr="00A318E8">
        <w:rPr>
          <w:rFonts w:ascii="Times New Roman" w:eastAsia="Times New Roman" w:hAnsi="Times New Roman" w:cs="Times New Roman"/>
          <w:bCs/>
          <w:sz w:val="24"/>
          <w:szCs w:val="24"/>
          <w:lang w:eastAsia="en-GB"/>
        </w:rPr>
        <w:t>"</w:t>
      </w:r>
      <w:r w:rsidRPr="00A318E8">
        <w:rPr>
          <w:rFonts w:ascii="Times New Roman" w:eastAsia="Times New Roman" w:hAnsi="Times New Roman" w:cs="Times New Roman"/>
          <w:sz w:val="24"/>
          <w:szCs w:val="24"/>
          <w:lang w:eastAsia="en-GB"/>
        </w:rPr>
        <w:t xml:space="preserve">Metal complexes as antimicrobial and anticancer agents </w:t>
      </w:r>
      <w:r w:rsidRPr="00A318E8">
        <w:rPr>
          <w:rFonts w:ascii="Times New Roman" w:eastAsia="Times New Roman" w:hAnsi="Times New Roman" w:cs="Times New Roman"/>
          <w:bCs/>
          <w:sz w:val="24"/>
          <w:szCs w:val="24"/>
          <w:lang w:eastAsia="en-GB"/>
        </w:rPr>
        <w:t>"</w:t>
      </w:r>
      <w:r w:rsidRPr="00A318E8">
        <w:rPr>
          <w:rFonts w:ascii="Times New Roman" w:eastAsia="Times New Roman" w:hAnsi="Times New Roman" w:cs="Times New Roman"/>
          <w:sz w:val="24"/>
          <w:szCs w:val="24"/>
          <w:lang w:eastAsia="en-GB"/>
        </w:rPr>
        <w:t xml:space="preserve">. </w:t>
      </w:r>
      <w:r w:rsidRPr="00A318E8">
        <w:rPr>
          <w:rFonts w:ascii="Times New Roman" w:eastAsia="Times New Roman" w:hAnsi="Times New Roman" w:cs="Times New Roman"/>
          <w:i/>
          <w:iCs/>
          <w:sz w:val="24"/>
          <w:szCs w:val="24"/>
          <w:lang w:eastAsia="en-GB"/>
        </w:rPr>
        <w:t>Chemical Reviews, 122</w:t>
      </w:r>
      <w:r w:rsidRPr="00A318E8">
        <w:rPr>
          <w:rFonts w:ascii="Times New Roman" w:eastAsia="Times New Roman" w:hAnsi="Times New Roman" w:cs="Times New Roman"/>
          <w:sz w:val="24"/>
          <w:szCs w:val="24"/>
          <w:lang w:eastAsia="en-GB"/>
        </w:rPr>
        <w:t xml:space="preserve">(12), 6825–6870. </w:t>
      </w:r>
      <w:hyperlink r:id="rId22" w:tgtFrame="_new" w:history="1">
        <w:r w:rsidRPr="00A318E8">
          <w:rPr>
            <w:rStyle w:val="Hyperlink"/>
            <w:rFonts w:ascii="Times New Roman" w:eastAsia="Times New Roman" w:hAnsi="Times New Roman" w:cs="Times New Roman"/>
            <w:color w:val="auto"/>
            <w:sz w:val="24"/>
            <w:szCs w:val="24"/>
            <w:u w:val="none"/>
            <w:lang w:eastAsia="en-GB"/>
          </w:rPr>
          <w:t>https://doi.org/10.1021/acs.chemrev.2023.6825</w:t>
        </w:r>
      </w:hyperlink>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hAnsi="Times New Roman" w:cs="Times New Roman"/>
          <w:sz w:val="24"/>
          <w:szCs w:val="24"/>
        </w:rPr>
        <w:t xml:space="preserve">Majumdar, T. P., Banerjee, S., </w:t>
      </w:r>
      <w:r w:rsidR="00E9740B">
        <w:rPr>
          <w:rFonts w:ascii="Times New Roman" w:hAnsi="Times New Roman" w:cs="Times New Roman"/>
          <w:sz w:val="24"/>
          <w:szCs w:val="24"/>
        </w:rPr>
        <w:t>and</w:t>
      </w:r>
      <w:r w:rsidRPr="00A318E8">
        <w:rPr>
          <w:rFonts w:ascii="Times New Roman" w:hAnsi="Times New Roman" w:cs="Times New Roman"/>
          <w:sz w:val="24"/>
          <w:szCs w:val="24"/>
        </w:rPr>
        <w:t xml:space="preserve"> Chatterjee, A. (2022). </w:t>
      </w:r>
      <w:r w:rsidRPr="00A318E8">
        <w:rPr>
          <w:rStyle w:val="Strong"/>
          <w:rFonts w:ascii="Times New Roman" w:hAnsi="Times New Roman" w:cs="Times New Roman"/>
          <w:b w:val="0"/>
          <w:sz w:val="24"/>
          <w:szCs w:val="24"/>
        </w:rPr>
        <w:t>"</w:t>
      </w:r>
      <w:r w:rsidRPr="00A318E8">
        <w:rPr>
          <w:rFonts w:ascii="Times New Roman" w:hAnsi="Times New Roman" w:cs="Times New Roman"/>
          <w:sz w:val="24"/>
          <w:szCs w:val="24"/>
        </w:rPr>
        <w:t xml:space="preserve">Synthesis and spectroscopic studies of Schiff base ligands </w:t>
      </w:r>
      <w:r w:rsidRPr="00A318E8">
        <w:rPr>
          <w:rStyle w:val="Strong"/>
          <w:rFonts w:ascii="Times New Roman" w:hAnsi="Times New Roman" w:cs="Times New Roman"/>
          <w:b w:val="0"/>
          <w:sz w:val="24"/>
          <w:szCs w:val="24"/>
        </w:rPr>
        <w:t>"</w:t>
      </w:r>
      <w:r w:rsidRPr="00A318E8">
        <w:rPr>
          <w:rFonts w:ascii="Times New Roman" w:hAnsi="Times New Roman" w:cs="Times New Roman"/>
          <w:sz w:val="24"/>
          <w:szCs w:val="24"/>
        </w:rPr>
        <w:t xml:space="preserve">. </w:t>
      </w:r>
      <w:r w:rsidRPr="00A318E8">
        <w:rPr>
          <w:rStyle w:val="Emphasis"/>
          <w:rFonts w:ascii="Times New Roman" w:eastAsiaTheme="majorEastAsia" w:hAnsi="Times New Roman" w:cs="Times New Roman"/>
          <w:sz w:val="24"/>
          <w:szCs w:val="24"/>
        </w:rPr>
        <w:t>Journal of Molecular Structure, 1240</w:t>
      </w:r>
      <w:r w:rsidRPr="00A318E8">
        <w:rPr>
          <w:rFonts w:ascii="Times New Roman" w:hAnsi="Times New Roman" w:cs="Times New Roman"/>
          <w:sz w:val="24"/>
          <w:szCs w:val="24"/>
        </w:rPr>
        <w:t xml:space="preserve">, 130179. </w:t>
      </w:r>
      <w:hyperlink r:id="rId23" w:history="1">
        <w:r w:rsidRPr="00A318E8">
          <w:rPr>
            <w:rStyle w:val="Hyperlink"/>
            <w:rFonts w:ascii="Times New Roman" w:hAnsi="Times New Roman" w:cs="Times New Roman"/>
            <w:color w:val="auto"/>
            <w:sz w:val="24"/>
            <w:szCs w:val="24"/>
            <w:u w:val="none"/>
          </w:rPr>
          <w:t>https://doi.org/10.1016/j.molstruc.2022.130179</w:t>
        </w:r>
      </w:hyperlink>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hAnsi="Times New Roman" w:cs="Times New Roman"/>
          <w:sz w:val="24"/>
          <w:szCs w:val="24"/>
        </w:rPr>
        <w:t xml:space="preserve">Rahman, B. T., Ahmed, M. F., </w:t>
      </w:r>
      <w:r w:rsidR="00E9740B">
        <w:rPr>
          <w:rFonts w:ascii="Times New Roman" w:hAnsi="Times New Roman" w:cs="Times New Roman"/>
          <w:sz w:val="24"/>
          <w:szCs w:val="24"/>
        </w:rPr>
        <w:t>and</w:t>
      </w:r>
      <w:r w:rsidRPr="00A318E8">
        <w:rPr>
          <w:rFonts w:ascii="Times New Roman" w:hAnsi="Times New Roman" w:cs="Times New Roman"/>
          <w:sz w:val="24"/>
          <w:szCs w:val="24"/>
        </w:rPr>
        <w:t xml:space="preserve"> Alam, S. (2023). Biological evaluation of Schiff base metal complexes. </w:t>
      </w:r>
      <w:r w:rsidRPr="00A318E8">
        <w:rPr>
          <w:rStyle w:val="Emphasis"/>
          <w:rFonts w:ascii="Times New Roman" w:eastAsiaTheme="majorEastAsia" w:hAnsi="Times New Roman" w:cs="Times New Roman"/>
          <w:sz w:val="24"/>
          <w:szCs w:val="24"/>
        </w:rPr>
        <w:t>Journal of Inorganic Biochemistry, 150</w:t>
      </w:r>
      <w:r w:rsidRPr="00A318E8">
        <w:rPr>
          <w:rFonts w:ascii="Times New Roman" w:hAnsi="Times New Roman" w:cs="Times New Roman"/>
          <w:sz w:val="24"/>
          <w:szCs w:val="24"/>
        </w:rPr>
        <w:t xml:space="preserve">, 81–91. </w:t>
      </w:r>
      <w:hyperlink r:id="rId24" w:history="1">
        <w:r w:rsidRPr="00A318E8">
          <w:rPr>
            <w:rStyle w:val="Hyperlink"/>
            <w:rFonts w:ascii="Times New Roman" w:hAnsi="Times New Roman" w:cs="Times New Roman"/>
            <w:color w:val="auto"/>
            <w:sz w:val="24"/>
            <w:szCs w:val="24"/>
            <w:u w:val="none"/>
          </w:rPr>
          <w:t>https://doi.org/10.1016/j.jinorgbio.2023.81</w:t>
        </w:r>
      </w:hyperlink>
    </w:p>
    <w:p w:rsidR="00A318E8" w:rsidRPr="00A318E8" w:rsidRDefault="00A318E8" w:rsidP="00A318E8">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A318E8">
        <w:rPr>
          <w:rFonts w:ascii="Times New Roman" w:eastAsiaTheme="minorEastAsia" w:hAnsi="Times New Roman" w:cs="Times New Roman"/>
          <w:sz w:val="24"/>
          <w:szCs w:val="24"/>
        </w:rPr>
        <w:t xml:space="preserve"> Suleiman, A.K, Sadi, A. H, Hadiza, A and Aminu, D. (2023). Synthesis, characterization and antimicrobial evaluation of Schiff base transition metal complexes of (E)-2-methoxybenzylidene)amino)phenol. Journal of chemical sciences (ISSN: 2682-6054) 11(2): 100-114. </w:t>
      </w:r>
    </w:p>
    <w:p w:rsidR="007F7B64" w:rsidRPr="007F7B64" w:rsidRDefault="00A318E8"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7F7B64">
        <w:rPr>
          <w:rStyle w:val="Strong"/>
          <w:rFonts w:ascii="Times New Roman" w:hAnsi="Times New Roman" w:cs="Times New Roman"/>
          <w:b w:val="0"/>
          <w:sz w:val="24"/>
          <w:szCs w:val="24"/>
        </w:rPr>
        <w:t>Hossain,</w:t>
      </w:r>
      <w:r w:rsidRPr="007F7B64">
        <w:rPr>
          <w:rStyle w:val="Strong"/>
          <w:rFonts w:ascii="Times New Roman" w:hAnsi="Times New Roman" w:cs="Times New Roman"/>
          <w:sz w:val="24"/>
          <w:szCs w:val="24"/>
        </w:rPr>
        <w:t xml:space="preserve"> </w:t>
      </w:r>
      <w:r w:rsidRPr="00F93A73">
        <w:rPr>
          <w:rStyle w:val="Strong"/>
          <w:rFonts w:ascii="Times New Roman" w:hAnsi="Times New Roman" w:cs="Times New Roman"/>
          <w:b w:val="0"/>
          <w:sz w:val="24"/>
          <w:szCs w:val="24"/>
        </w:rPr>
        <w:t>T. J</w:t>
      </w:r>
      <w:r w:rsidRPr="007F7B64">
        <w:rPr>
          <w:rStyle w:val="Strong"/>
          <w:rFonts w:ascii="Times New Roman" w:hAnsi="Times New Roman" w:cs="Times New Roman"/>
          <w:sz w:val="24"/>
          <w:szCs w:val="24"/>
        </w:rPr>
        <w:t>.</w:t>
      </w:r>
      <w:r w:rsidRPr="007F7B64">
        <w:rPr>
          <w:rFonts w:ascii="Times New Roman" w:hAnsi="Times New Roman" w:cs="Times New Roman"/>
          <w:sz w:val="24"/>
          <w:szCs w:val="24"/>
        </w:rPr>
        <w:t xml:space="preserve"> (2024). Methods for screening and evaluation of antimicrobial activity: A review of protocols, advantages, and limitations. </w:t>
      </w:r>
      <w:r w:rsidRPr="007F7B64">
        <w:rPr>
          <w:rStyle w:val="Emphasis"/>
          <w:rFonts w:ascii="Times New Roman" w:hAnsi="Times New Roman" w:cs="Times New Roman"/>
          <w:sz w:val="24"/>
          <w:szCs w:val="24"/>
        </w:rPr>
        <w:t>European Journal of Microbiology and Immunology</w:t>
      </w:r>
      <w:r w:rsidRPr="007F7B64">
        <w:rPr>
          <w:rFonts w:ascii="Times New Roman" w:hAnsi="Times New Roman" w:cs="Times New Roman"/>
          <w:sz w:val="24"/>
          <w:szCs w:val="24"/>
        </w:rPr>
        <w:t xml:space="preserve">, </w:t>
      </w:r>
      <w:r w:rsidRPr="007F7B64">
        <w:rPr>
          <w:rStyle w:val="Emphasis"/>
          <w:rFonts w:ascii="Times New Roman" w:hAnsi="Times New Roman" w:cs="Times New Roman"/>
          <w:sz w:val="24"/>
          <w:szCs w:val="24"/>
        </w:rPr>
        <w:t>14</w:t>
      </w:r>
      <w:r w:rsidRPr="007F7B64">
        <w:rPr>
          <w:rFonts w:ascii="Times New Roman" w:hAnsi="Times New Roman" w:cs="Times New Roman"/>
          <w:sz w:val="24"/>
          <w:szCs w:val="24"/>
        </w:rPr>
        <w:t xml:space="preserve">(2), 97–115. </w:t>
      </w:r>
      <w:hyperlink r:id="rId25" w:history="1">
        <w:r w:rsidRPr="007F7B64">
          <w:rPr>
            <w:rStyle w:val="Hyperlink"/>
            <w:rFonts w:ascii="Times New Roman" w:hAnsi="Times New Roman" w:cs="Times New Roman"/>
            <w:color w:val="auto"/>
            <w:sz w:val="24"/>
            <w:szCs w:val="24"/>
            <w:u w:val="none"/>
          </w:rPr>
          <w:t>https://doi.org/10.1556/1886.2024.00035</w:t>
        </w:r>
      </w:hyperlink>
      <w:r w:rsidRPr="007F7B64">
        <w:rPr>
          <w:rFonts w:ascii="Times New Roman" w:hAnsi="Times New Roman" w:cs="Times New Roman"/>
          <w:sz w:val="24"/>
          <w:szCs w:val="24"/>
        </w:rPr>
        <w:t xml:space="preserve"> </w:t>
      </w:r>
    </w:p>
    <w:p w:rsidR="007F7B64" w:rsidRPr="00285DEB" w:rsidRDefault="007F7B64"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7F7B64">
        <w:rPr>
          <w:rFonts w:ascii="Times New Roman" w:hAnsi="Times New Roman" w:cs="Times New Roman"/>
          <w:sz w:val="24"/>
          <w:szCs w:val="24"/>
        </w:rPr>
        <w:t xml:space="preserve">Bernardi, A., Bennett, W. F. D., He, S., Jones, D., Kirshner, D., Bennion, B. J., </w:t>
      </w:r>
      <w:r w:rsidR="00E9740B">
        <w:rPr>
          <w:rFonts w:ascii="Times New Roman" w:hAnsi="Times New Roman" w:cs="Times New Roman"/>
          <w:sz w:val="24"/>
          <w:szCs w:val="24"/>
        </w:rPr>
        <w:t xml:space="preserve">and </w:t>
      </w:r>
      <w:r w:rsidRPr="007F7B64">
        <w:rPr>
          <w:rFonts w:ascii="Times New Roman" w:hAnsi="Times New Roman" w:cs="Times New Roman"/>
          <w:sz w:val="24"/>
          <w:szCs w:val="24"/>
        </w:rPr>
        <w:t xml:space="preserve">Carpenter, T. S. (2023). Advances in computational approaches for estimating passive permeability in drug discovery. </w:t>
      </w:r>
      <w:r w:rsidRPr="007F7B64">
        <w:rPr>
          <w:rStyle w:val="Emphasis"/>
          <w:rFonts w:ascii="Times New Roman" w:hAnsi="Times New Roman" w:cs="Times New Roman"/>
          <w:sz w:val="24"/>
          <w:szCs w:val="24"/>
        </w:rPr>
        <w:t>Membranes, 13</w:t>
      </w:r>
      <w:r w:rsidRPr="007F7B64">
        <w:rPr>
          <w:rFonts w:ascii="Times New Roman" w:hAnsi="Times New Roman" w:cs="Times New Roman"/>
          <w:sz w:val="24"/>
          <w:szCs w:val="24"/>
        </w:rPr>
        <w:t xml:space="preserve">(11), 851. </w:t>
      </w:r>
      <w:hyperlink r:id="rId26" w:history="1">
        <w:r w:rsidRPr="007F7B64">
          <w:rPr>
            <w:rStyle w:val="Hyperlink"/>
            <w:rFonts w:ascii="Times New Roman" w:hAnsi="Times New Roman" w:cs="Times New Roman"/>
            <w:sz w:val="24"/>
            <w:szCs w:val="24"/>
            <w:u w:val="none"/>
          </w:rPr>
          <w:t>https://doi.org/10.3390/membranes13110851</w:t>
        </w:r>
      </w:hyperlink>
      <w:r w:rsidRPr="007F7B64">
        <w:rPr>
          <w:rFonts w:ascii="Times New Roman" w:hAnsi="Times New Roman" w:cs="Times New Roman"/>
          <w:sz w:val="24"/>
          <w:szCs w:val="24"/>
        </w:rPr>
        <w:t xml:space="preserve"> </w:t>
      </w:r>
    </w:p>
    <w:p w:rsidR="00285DEB" w:rsidRPr="00E36E76" w:rsidRDefault="00285DEB"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285DEB">
        <w:rPr>
          <w:rFonts w:ascii="Times New Roman" w:hAnsi="Times New Roman" w:cs="Times New Roman"/>
          <w:color w:val="000000"/>
          <w:sz w:val="24"/>
          <w:szCs w:val="24"/>
          <w:shd w:val="clear" w:color="auto" w:fill="FFFFFF"/>
        </w:rPr>
        <w:lastRenderedPageBreak/>
        <w:t>Jain S, Rana M, Sultana R, Mehandi R, Rahisuddin. Schiff Base metal complexes as antimicrobial and anticancer agents. Polycyclic Aromatic Compounds. 2022;</w:t>
      </w:r>
      <w:r w:rsidRPr="00285DEB">
        <w:rPr>
          <w:rFonts w:ascii="Times New Roman" w:hAnsi="Times New Roman" w:cs="Times New Roman"/>
          <w:sz w:val="24"/>
          <w:szCs w:val="24"/>
        </w:rPr>
        <w:t>5</w:t>
      </w:r>
      <w:r w:rsidRPr="00285DEB">
        <w:rPr>
          <w:rFonts w:ascii="Times New Roman" w:hAnsi="Times New Roman" w:cs="Times New Roman"/>
          <w:color w:val="000000"/>
          <w:sz w:val="24"/>
          <w:szCs w:val="24"/>
          <w:shd w:val="clear" w:color="auto" w:fill="FFFFFF"/>
        </w:rPr>
        <w:t>:1-56. DOI: 10.1080/10406638.2022.2117210</w:t>
      </w:r>
    </w:p>
    <w:p w:rsidR="00E36E76" w:rsidRPr="00E36E76" w:rsidRDefault="00E36E76"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E36E76">
        <w:rPr>
          <w:rFonts w:ascii="Times New Roman" w:hAnsi="Times New Roman" w:cs="Times New Roman"/>
          <w:sz w:val="24"/>
          <w:szCs w:val="24"/>
        </w:rPr>
        <w:t xml:space="preserve">Malav, R., &amp; Ray, S. (2025). </w:t>
      </w:r>
      <w:r w:rsidRPr="00E36E76">
        <w:rPr>
          <w:rStyle w:val="Emphasis"/>
          <w:rFonts w:ascii="Times New Roman" w:hAnsi="Times New Roman" w:cs="Times New Roman"/>
          <w:sz w:val="24"/>
          <w:szCs w:val="24"/>
        </w:rPr>
        <w:t>Recent advances in the synthesis and versatile applications of transition metal complexes featuring Schiff base ligands.</w:t>
      </w:r>
      <w:r w:rsidRPr="00E36E76">
        <w:rPr>
          <w:rFonts w:ascii="Times New Roman" w:hAnsi="Times New Roman" w:cs="Times New Roman"/>
          <w:sz w:val="24"/>
          <w:szCs w:val="24"/>
        </w:rPr>
        <w:t xml:space="preserve"> </w:t>
      </w:r>
      <w:r w:rsidRPr="00E36E76">
        <w:rPr>
          <w:rStyle w:val="Emphasis"/>
          <w:rFonts w:ascii="Times New Roman" w:hAnsi="Times New Roman" w:cs="Times New Roman"/>
          <w:sz w:val="24"/>
          <w:szCs w:val="24"/>
        </w:rPr>
        <w:t>RSC Advances, 15</w:t>
      </w:r>
      <w:r w:rsidRPr="00E36E76">
        <w:rPr>
          <w:rFonts w:ascii="Times New Roman" w:hAnsi="Times New Roman" w:cs="Times New Roman"/>
          <w:sz w:val="24"/>
          <w:szCs w:val="24"/>
        </w:rPr>
        <w:t xml:space="preserve">, 22889–22914. </w:t>
      </w:r>
      <w:hyperlink r:id="rId27" w:history="1">
        <w:r w:rsidRPr="0026399A">
          <w:rPr>
            <w:rStyle w:val="Hyperlink"/>
            <w:rFonts w:ascii="Times New Roman" w:hAnsi="Times New Roman" w:cs="Times New Roman"/>
            <w:sz w:val="24"/>
            <w:szCs w:val="24"/>
          </w:rPr>
          <w:t>https://doi.org/10.1039/D5RA03626G</w:t>
        </w:r>
      </w:hyperlink>
    </w:p>
    <w:p w:rsidR="00E36E76" w:rsidRPr="004A3C7B" w:rsidRDefault="00E36E76"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E36E76">
        <w:rPr>
          <w:rFonts w:ascii="Times New Roman" w:hAnsi="Times New Roman" w:cs="Times New Roman"/>
          <w:sz w:val="24"/>
          <w:szCs w:val="24"/>
        </w:rPr>
        <w:t xml:space="preserve">Yadav, S., Devi, S., &amp; Kumar, D. (2023). Transition metal complexes of Schiff bases: Synthesis, characterization, and biological applications. </w:t>
      </w:r>
      <w:r w:rsidRPr="00E36E76">
        <w:rPr>
          <w:rStyle w:val="Emphasis"/>
          <w:rFonts w:ascii="Times New Roman" w:hAnsi="Times New Roman" w:cs="Times New Roman"/>
          <w:sz w:val="24"/>
          <w:szCs w:val="24"/>
        </w:rPr>
        <w:t>Journal of Molecular Structure, 1278</w:t>
      </w:r>
      <w:r w:rsidRPr="00E36E76">
        <w:rPr>
          <w:rFonts w:ascii="Times New Roman" w:hAnsi="Times New Roman" w:cs="Times New Roman"/>
          <w:sz w:val="24"/>
          <w:szCs w:val="24"/>
        </w:rPr>
        <w:t xml:space="preserve">, 134921. </w:t>
      </w:r>
      <w:hyperlink r:id="rId28" w:history="1">
        <w:r w:rsidR="004A3C7B" w:rsidRPr="0026399A">
          <w:rPr>
            <w:rStyle w:val="Hyperlink"/>
            <w:rFonts w:ascii="Times New Roman" w:hAnsi="Times New Roman" w:cs="Times New Roman"/>
            <w:sz w:val="24"/>
            <w:szCs w:val="24"/>
          </w:rPr>
          <w:t>https://doi.org/10.1016/j.molstruc.2023.134921</w:t>
        </w:r>
      </w:hyperlink>
    </w:p>
    <w:p w:rsidR="004A3C7B" w:rsidRPr="005728EA" w:rsidRDefault="004A3C7B"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4A3C7B">
        <w:rPr>
          <w:rFonts w:ascii="Times New Roman" w:hAnsi="Times New Roman" w:cs="Times New Roman"/>
          <w:sz w:val="24"/>
          <w:szCs w:val="24"/>
        </w:rPr>
        <w:t xml:space="preserve">Lobana, T. S., Sharma, R., Bawa, G., &amp; Khanna, S. (2009). Bonding and structure trends of thiosemicarbazone derivatives of metals—An overview. </w:t>
      </w:r>
      <w:r w:rsidRPr="004A3C7B">
        <w:rPr>
          <w:rStyle w:val="Emphasis"/>
          <w:rFonts w:ascii="Times New Roman" w:hAnsi="Times New Roman" w:cs="Times New Roman"/>
          <w:sz w:val="24"/>
          <w:szCs w:val="24"/>
        </w:rPr>
        <w:t>Coordination Chemistry Reviews, 253</w:t>
      </w:r>
      <w:r w:rsidRPr="004A3C7B">
        <w:rPr>
          <w:rFonts w:ascii="Times New Roman" w:hAnsi="Times New Roman" w:cs="Times New Roman"/>
          <w:sz w:val="24"/>
          <w:szCs w:val="24"/>
        </w:rPr>
        <w:t xml:space="preserve">(7–8), 977–1055. </w:t>
      </w:r>
      <w:hyperlink r:id="rId29" w:history="1">
        <w:r w:rsidR="005728EA" w:rsidRPr="0026399A">
          <w:rPr>
            <w:rStyle w:val="Hyperlink"/>
            <w:rFonts w:ascii="Times New Roman" w:hAnsi="Times New Roman" w:cs="Times New Roman"/>
            <w:sz w:val="24"/>
            <w:szCs w:val="24"/>
          </w:rPr>
          <w:t>https://doi.org/10.1016/j.ccr.2008.07.004</w:t>
        </w:r>
      </w:hyperlink>
    </w:p>
    <w:p w:rsidR="005728EA" w:rsidRPr="005728EA" w:rsidRDefault="005728EA"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5728EA">
        <w:rPr>
          <w:rStyle w:val="Strong"/>
          <w:rFonts w:ascii="Times New Roman" w:hAnsi="Times New Roman" w:cs="Times New Roman"/>
          <w:b w:val="0"/>
          <w:sz w:val="24"/>
          <w:szCs w:val="24"/>
        </w:rPr>
        <w:t>Reis, D. C., Hurrell, E., Rodrigues, M. O., de Souza, N. S. P., de Oliveira, M. T., &amp; Botteselle, G. V. (2019).</w:t>
      </w:r>
      <w:r w:rsidRPr="005728EA">
        <w:rPr>
          <w:rFonts w:ascii="Times New Roman" w:hAnsi="Times New Roman" w:cs="Times New Roman"/>
          <w:sz w:val="24"/>
          <w:szCs w:val="24"/>
        </w:rPr>
        <w:t>Synthesis, characterization and biological evaluation of copper(II) complexes with furan</w:t>
      </w:r>
      <w:r w:rsidRPr="005728EA">
        <w:rPr>
          <w:rFonts w:ascii="Times New Roman" w:hAnsi="Times New Roman" w:cs="Times New Roman"/>
          <w:sz w:val="24"/>
          <w:szCs w:val="24"/>
        </w:rPr>
        <w:noBreakHyphen/>
        <w:t xml:space="preserve">derived thiosemicarbazones. </w:t>
      </w:r>
      <w:r w:rsidRPr="005728EA">
        <w:rPr>
          <w:rStyle w:val="Emphasis"/>
          <w:rFonts w:ascii="Times New Roman" w:hAnsi="Times New Roman" w:cs="Times New Roman"/>
          <w:sz w:val="24"/>
          <w:szCs w:val="24"/>
        </w:rPr>
        <w:t>Polyhedron, 165</w:t>
      </w:r>
      <w:r w:rsidRPr="005728EA">
        <w:rPr>
          <w:rFonts w:ascii="Times New Roman" w:hAnsi="Times New Roman" w:cs="Times New Roman"/>
          <w:sz w:val="24"/>
          <w:szCs w:val="24"/>
        </w:rPr>
        <w:t xml:space="preserve">, 17–25. </w:t>
      </w:r>
      <w:hyperlink r:id="rId30" w:history="1">
        <w:r w:rsidRPr="0026399A">
          <w:rPr>
            <w:rStyle w:val="Hyperlink"/>
            <w:rFonts w:ascii="Times New Roman" w:hAnsi="Times New Roman" w:cs="Times New Roman"/>
            <w:sz w:val="24"/>
            <w:szCs w:val="24"/>
          </w:rPr>
          <w:t>https://doi.org/10.1016/j.poly.2019.02.036</w:t>
        </w:r>
      </w:hyperlink>
    </w:p>
    <w:p w:rsidR="005728EA" w:rsidRPr="005728EA" w:rsidRDefault="005728EA" w:rsidP="007F7B64">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5728EA">
        <w:rPr>
          <w:rStyle w:val="Strong"/>
          <w:rFonts w:ascii="Times New Roman" w:hAnsi="Times New Roman" w:cs="Times New Roman"/>
          <w:b w:val="0"/>
          <w:sz w:val="24"/>
          <w:szCs w:val="24"/>
        </w:rPr>
        <w:t xml:space="preserve">Beraldo, H., </w:t>
      </w:r>
      <w:r>
        <w:rPr>
          <w:rStyle w:val="Strong"/>
          <w:rFonts w:ascii="Times New Roman" w:hAnsi="Times New Roman" w:cs="Times New Roman"/>
          <w:b w:val="0"/>
          <w:sz w:val="24"/>
          <w:szCs w:val="24"/>
        </w:rPr>
        <w:t>&amp;</w:t>
      </w:r>
      <w:r w:rsidRPr="005728EA">
        <w:rPr>
          <w:rStyle w:val="Strong"/>
          <w:rFonts w:ascii="Times New Roman" w:hAnsi="Times New Roman" w:cs="Times New Roman"/>
          <w:b w:val="0"/>
          <w:sz w:val="24"/>
          <w:szCs w:val="24"/>
        </w:rPr>
        <w:t xml:space="preserve"> Gambino, D. (2018).</w:t>
      </w:r>
      <w:r w:rsidRPr="005728EA">
        <w:rPr>
          <w:rFonts w:ascii="Times New Roman" w:hAnsi="Times New Roman" w:cs="Times New Roman"/>
          <w:b/>
          <w:sz w:val="24"/>
          <w:szCs w:val="24"/>
        </w:rPr>
        <w:br/>
      </w:r>
      <w:r w:rsidRPr="005728EA">
        <w:rPr>
          <w:rFonts w:ascii="Times New Roman" w:hAnsi="Times New Roman" w:cs="Times New Roman"/>
          <w:sz w:val="24"/>
          <w:szCs w:val="24"/>
        </w:rPr>
        <w:t xml:space="preserve">The wide pharmacological versatility of semicarbazones, thiosemicarbazones and their metal complexes. </w:t>
      </w:r>
      <w:r w:rsidRPr="005728EA">
        <w:rPr>
          <w:rStyle w:val="Emphasis"/>
          <w:rFonts w:ascii="Times New Roman" w:hAnsi="Times New Roman" w:cs="Times New Roman"/>
          <w:sz w:val="24"/>
          <w:szCs w:val="24"/>
        </w:rPr>
        <w:t>Dalton Transactions, 47</w:t>
      </w:r>
      <w:r w:rsidRPr="005728EA">
        <w:rPr>
          <w:rFonts w:ascii="Times New Roman" w:hAnsi="Times New Roman" w:cs="Times New Roman"/>
          <w:sz w:val="24"/>
          <w:szCs w:val="24"/>
        </w:rPr>
        <w:t xml:space="preserve">, 6784–6802. </w:t>
      </w:r>
      <w:hyperlink r:id="rId31" w:history="1">
        <w:r w:rsidRPr="0026399A">
          <w:rPr>
            <w:rStyle w:val="Hyperlink"/>
            <w:rFonts w:ascii="Times New Roman" w:hAnsi="Times New Roman" w:cs="Times New Roman"/>
            <w:sz w:val="24"/>
            <w:szCs w:val="24"/>
          </w:rPr>
          <w:t>https://doi.org/10.1039/C8DT00281F</w:t>
        </w:r>
      </w:hyperlink>
    </w:p>
    <w:p w:rsidR="00BD7CA4" w:rsidRPr="005728EA" w:rsidRDefault="005728EA" w:rsidP="005728EA">
      <w:pPr>
        <w:pStyle w:val="ListParagraph"/>
        <w:numPr>
          <w:ilvl w:val="0"/>
          <w:numId w:val="4"/>
        </w:numPr>
        <w:spacing w:before="100" w:beforeAutospacing="1" w:after="100" w:afterAutospacing="1"/>
        <w:ind w:left="284" w:hanging="349"/>
        <w:jc w:val="both"/>
        <w:rPr>
          <w:rFonts w:ascii="Times New Roman" w:eastAsia="Times New Roman" w:hAnsi="Times New Roman" w:cs="Times New Roman"/>
          <w:sz w:val="24"/>
          <w:szCs w:val="24"/>
          <w:lang w:eastAsia="en-GB"/>
        </w:rPr>
      </w:pPr>
      <w:r w:rsidRPr="005728EA">
        <w:rPr>
          <w:rStyle w:val="Strong"/>
          <w:rFonts w:ascii="Times New Roman" w:hAnsi="Times New Roman" w:cs="Times New Roman"/>
          <w:b w:val="0"/>
          <w:sz w:val="24"/>
          <w:szCs w:val="24"/>
        </w:rPr>
        <w:t>Kowol, C. R., Heffeter, P., Miklos, W., Gille, L., Trondl, R., Cappellacci, L., Berger, W., &amp; Keppler, B. K. (2016).</w:t>
      </w:r>
      <w:r w:rsidRPr="005728EA">
        <w:rPr>
          <w:rFonts w:ascii="Times New Roman" w:hAnsi="Times New Roman" w:cs="Times New Roman"/>
          <w:sz w:val="24"/>
          <w:szCs w:val="24"/>
        </w:rPr>
        <w:br/>
        <w:t xml:space="preserve">Mechanisms underlying the anticancer activity of thiosemicarbazone metal complexes. </w:t>
      </w:r>
      <w:r w:rsidRPr="005728EA">
        <w:rPr>
          <w:rStyle w:val="Emphasis"/>
          <w:rFonts w:ascii="Times New Roman" w:hAnsi="Times New Roman" w:cs="Times New Roman"/>
          <w:sz w:val="24"/>
          <w:szCs w:val="24"/>
        </w:rPr>
        <w:t>Coordination Chemistry Reviews, 306</w:t>
      </w:r>
      <w:r w:rsidRPr="005728EA">
        <w:rPr>
          <w:rFonts w:ascii="Times New Roman" w:hAnsi="Times New Roman" w:cs="Times New Roman"/>
          <w:sz w:val="24"/>
          <w:szCs w:val="24"/>
        </w:rPr>
        <w:t>, 211–228. https://doi.org/10.1016/j.ccr.2015.07.018</w:t>
      </w:r>
    </w:p>
    <w:sectPr w:rsidR="00BD7CA4" w:rsidRPr="005728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10" w:rsidRDefault="00584210">
      <w:pPr>
        <w:spacing w:line="240" w:lineRule="auto"/>
      </w:pPr>
      <w:r>
        <w:separator/>
      </w:r>
    </w:p>
  </w:endnote>
  <w:endnote w:type="continuationSeparator" w:id="0">
    <w:p w:rsidR="00584210" w:rsidRDefault="00584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43820t00">
    <w:altName w:val="Yu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10" w:rsidRDefault="00584210">
      <w:pPr>
        <w:spacing w:after="0"/>
      </w:pPr>
      <w:r>
        <w:separator/>
      </w:r>
    </w:p>
  </w:footnote>
  <w:footnote w:type="continuationSeparator" w:id="0">
    <w:p w:rsidR="00584210" w:rsidRDefault="005842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1942"/>
    <w:multiLevelType w:val="hybridMultilevel"/>
    <w:tmpl w:val="114042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7C3CDC"/>
    <w:multiLevelType w:val="multilevel"/>
    <w:tmpl w:val="257C3C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F4B5A86"/>
    <w:multiLevelType w:val="multilevel"/>
    <w:tmpl w:val="3F4B5A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50C32CD"/>
    <w:multiLevelType w:val="multilevel"/>
    <w:tmpl w:val="450C32C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E6E0368"/>
    <w:multiLevelType w:val="hybridMultilevel"/>
    <w:tmpl w:val="D64CDB5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3C"/>
    <w:rsid w:val="00000703"/>
    <w:rsid w:val="000015B6"/>
    <w:rsid w:val="00002E78"/>
    <w:rsid w:val="00002EE7"/>
    <w:rsid w:val="00017207"/>
    <w:rsid w:val="000307DF"/>
    <w:rsid w:val="000354FA"/>
    <w:rsid w:val="00037595"/>
    <w:rsid w:val="00064AC7"/>
    <w:rsid w:val="0006580E"/>
    <w:rsid w:val="0006655C"/>
    <w:rsid w:val="00070254"/>
    <w:rsid w:val="00070353"/>
    <w:rsid w:val="0007156F"/>
    <w:rsid w:val="000723D0"/>
    <w:rsid w:val="00095902"/>
    <w:rsid w:val="00095A8D"/>
    <w:rsid w:val="00097751"/>
    <w:rsid w:val="000A0DA0"/>
    <w:rsid w:val="000A49E8"/>
    <w:rsid w:val="000B3178"/>
    <w:rsid w:val="000B5CDB"/>
    <w:rsid w:val="000B6E94"/>
    <w:rsid w:val="000C07B0"/>
    <w:rsid w:val="000D37E9"/>
    <w:rsid w:val="000E148D"/>
    <w:rsid w:val="000E3CAD"/>
    <w:rsid w:val="000E725B"/>
    <w:rsid w:val="00101563"/>
    <w:rsid w:val="001075AC"/>
    <w:rsid w:val="0011014E"/>
    <w:rsid w:val="00120D3F"/>
    <w:rsid w:val="00135565"/>
    <w:rsid w:val="001370B2"/>
    <w:rsid w:val="00137E4E"/>
    <w:rsid w:val="0016328D"/>
    <w:rsid w:val="001767AD"/>
    <w:rsid w:val="00183E12"/>
    <w:rsid w:val="00184624"/>
    <w:rsid w:val="00195AB9"/>
    <w:rsid w:val="001A73AF"/>
    <w:rsid w:val="001A7BCE"/>
    <w:rsid w:val="001B394D"/>
    <w:rsid w:val="001B3BA1"/>
    <w:rsid w:val="001C035A"/>
    <w:rsid w:val="001D0865"/>
    <w:rsid w:val="001D57E8"/>
    <w:rsid w:val="001E3170"/>
    <w:rsid w:val="001E3684"/>
    <w:rsid w:val="001F45AA"/>
    <w:rsid w:val="00211716"/>
    <w:rsid w:val="00212C67"/>
    <w:rsid w:val="0021497F"/>
    <w:rsid w:val="0022167A"/>
    <w:rsid w:val="00223C52"/>
    <w:rsid w:val="00227D72"/>
    <w:rsid w:val="00230AC0"/>
    <w:rsid w:val="00233092"/>
    <w:rsid w:val="00236E1C"/>
    <w:rsid w:val="00241C2B"/>
    <w:rsid w:val="00265B89"/>
    <w:rsid w:val="00272431"/>
    <w:rsid w:val="002766E4"/>
    <w:rsid w:val="00285DEB"/>
    <w:rsid w:val="00290348"/>
    <w:rsid w:val="0029345C"/>
    <w:rsid w:val="002953D9"/>
    <w:rsid w:val="002C0A2A"/>
    <w:rsid w:val="002C1942"/>
    <w:rsid w:val="002C5D07"/>
    <w:rsid w:val="002F4503"/>
    <w:rsid w:val="002F7115"/>
    <w:rsid w:val="003001D3"/>
    <w:rsid w:val="003071EE"/>
    <w:rsid w:val="00312550"/>
    <w:rsid w:val="003147BA"/>
    <w:rsid w:val="00316618"/>
    <w:rsid w:val="0032656C"/>
    <w:rsid w:val="003374F0"/>
    <w:rsid w:val="00342B1F"/>
    <w:rsid w:val="00342E7B"/>
    <w:rsid w:val="003477C6"/>
    <w:rsid w:val="0035078F"/>
    <w:rsid w:val="00351BDB"/>
    <w:rsid w:val="00374EC4"/>
    <w:rsid w:val="00394744"/>
    <w:rsid w:val="003A6F1A"/>
    <w:rsid w:val="003B0083"/>
    <w:rsid w:val="003B29F5"/>
    <w:rsid w:val="003B5159"/>
    <w:rsid w:val="003C7412"/>
    <w:rsid w:val="003D1C24"/>
    <w:rsid w:val="003D202A"/>
    <w:rsid w:val="003D4E2C"/>
    <w:rsid w:val="003D599E"/>
    <w:rsid w:val="003E0E5B"/>
    <w:rsid w:val="003F6F54"/>
    <w:rsid w:val="00402BEB"/>
    <w:rsid w:val="0041087D"/>
    <w:rsid w:val="00415237"/>
    <w:rsid w:val="004249BD"/>
    <w:rsid w:val="00431797"/>
    <w:rsid w:val="00436B74"/>
    <w:rsid w:val="00440E1E"/>
    <w:rsid w:val="004423EB"/>
    <w:rsid w:val="00450E2F"/>
    <w:rsid w:val="004569EE"/>
    <w:rsid w:val="004576FA"/>
    <w:rsid w:val="00461DCC"/>
    <w:rsid w:val="00463C65"/>
    <w:rsid w:val="0046422C"/>
    <w:rsid w:val="00470C6F"/>
    <w:rsid w:val="00470ED6"/>
    <w:rsid w:val="00471C12"/>
    <w:rsid w:val="004821B5"/>
    <w:rsid w:val="00482349"/>
    <w:rsid w:val="004972AA"/>
    <w:rsid w:val="004A0893"/>
    <w:rsid w:val="004A1862"/>
    <w:rsid w:val="004A28F4"/>
    <w:rsid w:val="004A3C7B"/>
    <w:rsid w:val="004C318B"/>
    <w:rsid w:val="004D0BD3"/>
    <w:rsid w:val="004F024C"/>
    <w:rsid w:val="004F402F"/>
    <w:rsid w:val="00504D0B"/>
    <w:rsid w:val="005068C3"/>
    <w:rsid w:val="00514C2E"/>
    <w:rsid w:val="00527C33"/>
    <w:rsid w:val="00530855"/>
    <w:rsid w:val="00533D46"/>
    <w:rsid w:val="00537DCF"/>
    <w:rsid w:val="00540631"/>
    <w:rsid w:val="0055208B"/>
    <w:rsid w:val="0055646D"/>
    <w:rsid w:val="005604BF"/>
    <w:rsid w:val="00566BB7"/>
    <w:rsid w:val="005728EA"/>
    <w:rsid w:val="0058080F"/>
    <w:rsid w:val="005822AD"/>
    <w:rsid w:val="00583302"/>
    <w:rsid w:val="00584210"/>
    <w:rsid w:val="00587D3C"/>
    <w:rsid w:val="00592265"/>
    <w:rsid w:val="00593386"/>
    <w:rsid w:val="00595B57"/>
    <w:rsid w:val="00597D93"/>
    <w:rsid w:val="00597ED6"/>
    <w:rsid w:val="005A176F"/>
    <w:rsid w:val="005A3C7C"/>
    <w:rsid w:val="005B10A8"/>
    <w:rsid w:val="005B46FF"/>
    <w:rsid w:val="005D13C8"/>
    <w:rsid w:val="005E1E23"/>
    <w:rsid w:val="005E7311"/>
    <w:rsid w:val="005F2D1E"/>
    <w:rsid w:val="005F66A8"/>
    <w:rsid w:val="00602035"/>
    <w:rsid w:val="00603C80"/>
    <w:rsid w:val="006069E4"/>
    <w:rsid w:val="006076CF"/>
    <w:rsid w:val="00612FF0"/>
    <w:rsid w:val="00617CA9"/>
    <w:rsid w:val="006327E4"/>
    <w:rsid w:val="006340CE"/>
    <w:rsid w:val="006437EC"/>
    <w:rsid w:val="0065289D"/>
    <w:rsid w:val="00662DD3"/>
    <w:rsid w:val="006701FD"/>
    <w:rsid w:val="00671BF2"/>
    <w:rsid w:val="00692CBA"/>
    <w:rsid w:val="00695E5F"/>
    <w:rsid w:val="006A1643"/>
    <w:rsid w:val="006A3545"/>
    <w:rsid w:val="006A531E"/>
    <w:rsid w:val="006A6AE0"/>
    <w:rsid w:val="006B3C45"/>
    <w:rsid w:val="006C3174"/>
    <w:rsid w:val="006C5C82"/>
    <w:rsid w:val="006C6CCF"/>
    <w:rsid w:val="006D27A8"/>
    <w:rsid w:val="006E16B0"/>
    <w:rsid w:val="006E33D3"/>
    <w:rsid w:val="006E3E15"/>
    <w:rsid w:val="00700A68"/>
    <w:rsid w:val="00702DE5"/>
    <w:rsid w:val="0072380F"/>
    <w:rsid w:val="00726504"/>
    <w:rsid w:val="007317F8"/>
    <w:rsid w:val="007356F7"/>
    <w:rsid w:val="0073665B"/>
    <w:rsid w:val="00745C16"/>
    <w:rsid w:val="0075274E"/>
    <w:rsid w:val="00755879"/>
    <w:rsid w:val="00755B61"/>
    <w:rsid w:val="0075769E"/>
    <w:rsid w:val="00761980"/>
    <w:rsid w:val="007859FD"/>
    <w:rsid w:val="00792F87"/>
    <w:rsid w:val="007A180C"/>
    <w:rsid w:val="007A53D5"/>
    <w:rsid w:val="007A7786"/>
    <w:rsid w:val="007B0C04"/>
    <w:rsid w:val="007B3CA3"/>
    <w:rsid w:val="007C097D"/>
    <w:rsid w:val="007C0B0E"/>
    <w:rsid w:val="007C3209"/>
    <w:rsid w:val="007C4981"/>
    <w:rsid w:val="007E4912"/>
    <w:rsid w:val="007E67D5"/>
    <w:rsid w:val="007F094A"/>
    <w:rsid w:val="007F16EF"/>
    <w:rsid w:val="007F7B64"/>
    <w:rsid w:val="0082151A"/>
    <w:rsid w:val="00825AF3"/>
    <w:rsid w:val="00854178"/>
    <w:rsid w:val="008567A4"/>
    <w:rsid w:val="00875029"/>
    <w:rsid w:val="00880422"/>
    <w:rsid w:val="00881FB8"/>
    <w:rsid w:val="00886800"/>
    <w:rsid w:val="00893204"/>
    <w:rsid w:val="008A1105"/>
    <w:rsid w:val="008B0D17"/>
    <w:rsid w:val="008D2AD2"/>
    <w:rsid w:val="008D3A07"/>
    <w:rsid w:val="008E4A82"/>
    <w:rsid w:val="008E6CDD"/>
    <w:rsid w:val="008F269C"/>
    <w:rsid w:val="008F6B61"/>
    <w:rsid w:val="00913357"/>
    <w:rsid w:val="00931ABB"/>
    <w:rsid w:val="00934B23"/>
    <w:rsid w:val="009478EA"/>
    <w:rsid w:val="00963EDD"/>
    <w:rsid w:val="00973943"/>
    <w:rsid w:val="00974D77"/>
    <w:rsid w:val="00977A69"/>
    <w:rsid w:val="00985245"/>
    <w:rsid w:val="00986AEC"/>
    <w:rsid w:val="00995B8D"/>
    <w:rsid w:val="009A2DA9"/>
    <w:rsid w:val="009A6EFC"/>
    <w:rsid w:val="009C6D9A"/>
    <w:rsid w:val="009D0F3F"/>
    <w:rsid w:val="009D2790"/>
    <w:rsid w:val="009D2B10"/>
    <w:rsid w:val="009E1269"/>
    <w:rsid w:val="009E211B"/>
    <w:rsid w:val="00A04CEF"/>
    <w:rsid w:val="00A23293"/>
    <w:rsid w:val="00A30560"/>
    <w:rsid w:val="00A318E8"/>
    <w:rsid w:val="00A56F04"/>
    <w:rsid w:val="00A61DF4"/>
    <w:rsid w:val="00A6373B"/>
    <w:rsid w:val="00A74A0E"/>
    <w:rsid w:val="00A767E7"/>
    <w:rsid w:val="00A80DEB"/>
    <w:rsid w:val="00A841DC"/>
    <w:rsid w:val="00A847DE"/>
    <w:rsid w:val="00A8614D"/>
    <w:rsid w:val="00A86962"/>
    <w:rsid w:val="00A9431A"/>
    <w:rsid w:val="00A97B73"/>
    <w:rsid w:val="00AB1689"/>
    <w:rsid w:val="00AE7F61"/>
    <w:rsid w:val="00AF0C7C"/>
    <w:rsid w:val="00AF134D"/>
    <w:rsid w:val="00B04B73"/>
    <w:rsid w:val="00B11DC9"/>
    <w:rsid w:val="00B13F74"/>
    <w:rsid w:val="00B20A15"/>
    <w:rsid w:val="00B317B2"/>
    <w:rsid w:val="00B31D7E"/>
    <w:rsid w:val="00B31E00"/>
    <w:rsid w:val="00B32A10"/>
    <w:rsid w:val="00B339E1"/>
    <w:rsid w:val="00B35650"/>
    <w:rsid w:val="00B37075"/>
    <w:rsid w:val="00B46069"/>
    <w:rsid w:val="00B62194"/>
    <w:rsid w:val="00B6423E"/>
    <w:rsid w:val="00B6636E"/>
    <w:rsid w:val="00B7202B"/>
    <w:rsid w:val="00B74E7B"/>
    <w:rsid w:val="00B769BC"/>
    <w:rsid w:val="00B7792E"/>
    <w:rsid w:val="00B90524"/>
    <w:rsid w:val="00BC0654"/>
    <w:rsid w:val="00BD5C83"/>
    <w:rsid w:val="00BD7CA4"/>
    <w:rsid w:val="00BE26BC"/>
    <w:rsid w:val="00BF52C9"/>
    <w:rsid w:val="00C26814"/>
    <w:rsid w:val="00C3124A"/>
    <w:rsid w:val="00C46351"/>
    <w:rsid w:val="00C47E6F"/>
    <w:rsid w:val="00C50B18"/>
    <w:rsid w:val="00C6044F"/>
    <w:rsid w:val="00C77572"/>
    <w:rsid w:val="00C83EC7"/>
    <w:rsid w:val="00C84C08"/>
    <w:rsid w:val="00C86601"/>
    <w:rsid w:val="00C874AF"/>
    <w:rsid w:val="00C91AA0"/>
    <w:rsid w:val="00CA6D11"/>
    <w:rsid w:val="00CC4BD5"/>
    <w:rsid w:val="00CE3031"/>
    <w:rsid w:val="00CE4A07"/>
    <w:rsid w:val="00CF191D"/>
    <w:rsid w:val="00CF40F6"/>
    <w:rsid w:val="00D06AFE"/>
    <w:rsid w:val="00D06E10"/>
    <w:rsid w:val="00D1049A"/>
    <w:rsid w:val="00D33C80"/>
    <w:rsid w:val="00D371EA"/>
    <w:rsid w:val="00D42EE5"/>
    <w:rsid w:val="00D438E6"/>
    <w:rsid w:val="00D4390F"/>
    <w:rsid w:val="00D46D74"/>
    <w:rsid w:val="00D60B99"/>
    <w:rsid w:val="00D74E45"/>
    <w:rsid w:val="00D755E1"/>
    <w:rsid w:val="00D80B0F"/>
    <w:rsid w:val="00D91FC7"/>
    <w:rsid w:val="00DA280B"/>
    <w:rsid w:val="00DB4298"/>
    <w:rsid w:val="00DC3B8F"/>
    <w:rsid w:val="00DC50FF"/>
    <w:rsid w:val="00DD3A54"/>
    <w:rsid w:val="00DE0A32"/>
    <w:rsid w:val="00DF4D2F"/>
    <w:rsid w:val="00DF629F"/>
    <w:rsid w:val="00DF63BC"/>
    <w:rsid w:val="00E0307C"/>
    <w:rsid w:val="00E2768F"/>
    <w:rsid w:val="00E279D3"/>
    <w:rsid w:val="00E3337C"/>
    <w:rsid w:val="00E36E76"/>
    <w:rsid w:val="00E41A08"/>
    <w:rsid w:val="00E709DF"/>
    <w:rsid w:val="00E7740F"/>
    <w:rsid w:val="00E87990"/>
    <w:rsid w:val="00E91ED5"/>
    <w:rsid w:val="00E929D0"/>
    <w:rsid w:val="00E9740B"/>
    <w:rsid w:val="00EA4191"/>
    <w:rsid w:val="00EB0918"/>
    <w:rsid w:val="00EB4092"/>
    <w:rsid w:val="00EC0D37"/>
    <w:rsid w:val="00EC71D0"/>
    <w:rsid w:val="00ED6605"/>
    <w:rsid w:val="00EE1421"/>
    <w:rsid w:val="00EE1C60"/>
    <w:rsid w:val="00EE3652"/>
    <w:rsid w:val="00EE424F"/>
    <w:rsid w:val="00EE5817"/>
    <w:rsid w:val="00EF3B52"/>
    <w:rsid w:val="00EF4A38"/>
    <w:rsid w:val="00F12631"/>
    <w:rsid w:val="00F159D4"/>
    <w:rsid w:val="00F16048"/>
    <w:rsid w:val="00F16CBA"/>
    <w:rsid w:val="00F17ECB"/>
    <w:rsid w:val="00F47770"/>
    <w:rsid w:val="00F51417"/>
    <w:rsid w:val="00F53F0E"/>
    <w:rsid w:val="00F604BF"/>
    <w:rsid w:val="00F618C2"/>
    <w:rsid w:val="00F65F06"/>
    <w:rsid w:val="00F702F4"/>
    <w:rsid w:val="00F7391D"/>
    <w:rsid w:val="00F7644F"/>
    <w:rsid w:val="00F765D2"/>
    <w:rsid w:val="00F822A5"/>
    <w:rsid w:val="00F84F31"/>
    <w:rsid w:val="00F86B2C"/>
    <w:rsid w:val="00F909C9"/>
    <w:rsid w:val="00F93A73"/>
    <w:rsid w:val="00FA4A0E"/>
    <w:rsid w:val="00FB191E"/>
    <w:rsid w:val="00FB5883"/>
    <w:rsid w:val="00FB5A00"/>
    <w:rsid w:val="00FB5AAE"/>
    <w:rsid w:val="00FB694F"/>
    <w:rsid w:val="00FC3331"/>
    <w:rsid w:val="00FD2F38"/>
    <w:rsid w:val="00FE1C50"/>
    <w:rsid w:val="00FE529E"/>
    <w:rsid w:val="00FF2610"/>
    <w:rsid w:val="3AD71E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016A5E-9EB2-40BF-AD46-F46F57D6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C6"/>
    <w:pPr>
      <w:spacing w:after="120" w:line="360" w:lineRule="auto"/>
    </w:pPr>
    <w:rPr>
      <w:sz w:val="22"/>
      <w:szCs w:val="22"/>
      <w:lang w:val="en-GB"/>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link w:val="Heading2Char"/>
    <w:uiPriority w:val="9"/>
    <w:qFormat/>
    <w:rsid w:val="0065289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65289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4823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B191E"/>
    <w:pPr>
      <w:keepNext/>
      <w:keepLines/>
      <w:spacing w:before="40" w:after="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B191E"/>
    <w:pPr>
      <w:keepNext/>
      <w:keepLines/>
      <w:spacing w:before="40" w:after="0" w:line="259" w:lineRule="auto"/>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6528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65289D"/>
    <w:rPr>
      <w:rFonts w:ascii="Times New Roman" w:eastAsia="Times New Roman" w:hAnsi="Times New Roman" w:cs="Times New Roman"/>
      <w:b/>
      <w:bCs/>
      <w:sz w:val="27"/>
      <w:szCs w:val="27"/>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overflow-hidden">
    <w:name w:val="overflow-hidden"/>
    <w:basedOn w:val="DefaultParagraphFont"/>
  </w:style>
  <w:style w:type="character" w:customStyle="1" w:styleId="Heading5Char">
    <w:name w:val="Heading 5 Char"/>
    <w:basedOn w:val="DefaultParagraphFont"/>
    <w:link w:val="Heading5"/>
    <w:uiPriority w:val="9"/>
    <w:semiHidden/>
    <w:qFormat/>
    <w:rsid w:val="00FB191E"/>
    <w:rPr>
      <w:rFonts w:asciiTheme="majorHAnsi" w:eastAsiaTheme="majorEastAsia" w:hAnsiTheme="majorHAnsi" w:cstheme="majorBidi"/>
      <w:color w:val="2E74B5" w:themeColor="accent1" w:themeShade="BF"/>
      <w:sz w:val="22"/>
      <w:szCs w:val="22"/>
      <w:lang w:val="en-GB"/>
    </w:rPr>
  </w:style>
  <w:style w:type="character" w:customStyle="1" w:styleId="Heading6Char">
    <w:name w:val="Heading 6 Char"/>
    <w:basedOn w:val="DefaultParagraphFont"/>
    <w:link w:val="Heading6"/>
    <w:uiPriority w:val="9"/>
    <w:semiHidden/>
    <w:qFormat/>
    <w:rsid w:val="00FB191E"/>
    <w:rPr>
      <w:rFonts w:asciiTheme="majorHAnsi" w:eastAsiaTheme="majorEastAsia" w:hAnsiTheme="majorHAnsi" w:cstheme="majorBidi"/>
      <w:color w:val="1F4E79" w:themeColor="accent1" w:themeShade="80"/>
      <w:sz w:val="22"/>
      <w:szCs w:val="22"/>
      <w:lang w:val="en-GB"/>
    </w:rPr>
  </w:style>
  <w:style w:type="character" w:styleId="HTMLCode">
    <w:name w:val="HTML Code"/>
    <w:basedOn w:val="DefaultParagraphFont"/>
    <w:uiPriority w:val="99"/>
    <w:semiHidden/>
    <w:unhideWhenUsed/>
    <w:qFormat/>
    <w:rsid w:val="00FB191E"/>
    <w:rPr>
      <w:rFonts w:ascii="Courier New" w:eastAsia="Times New Roman" w:hAnsi="Courier New" w:cs="Courier New"/>
      <w:sz w:val="20"/>
      <w:szCs w:val="20"/>
    </w:rPr>
  </w:style>
  <w:style w:type="character" w:customStyle="1" w:styleId="sr-only">
    <w:name w:val="sr-only"/>
    <w:basedOn w:val="DefaultParagraphFont"/>
    <w:qFormat/>
    <w:rsid w:val="00FB191E"/>
  </w:style>
  <w:style w:type="paragraph" w:customStyle="1" w:styleId="z-TopofForm1">
    <w:name w:val="z-Top of Form1"/>
    <w:basedOn w:val="Normal"/>
    <w:next w:val="Normal"/>
    <w:link w:val="z-TopofFormChar"/>
    <w:uiPriority w:val="99"/>
    <w:semiHidden/>
    <w:unhideWhenUsed/>
    <w:qFormat/>
    <w:rsid w:val="00FB191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1"/>
    <w:uiPriority w:val="99"/>
    <w:semiHidden/>
    <w:qFormat/>
    <w:rsid w:val="00FB191E"/>
    <w:rPr>
      <w:rFonts w:ascii="Arial" w:eastAsia="Times New Roman" w:hAnsi="Arial" w:cs="Arial"/>
      <w:vanish/>
      <w:sz w:val="16"/>
      <w:szCs w:val="16"/>
      <w:lang w:val="en-GB" w:eastAsia="en-GB"/>
    </w:rPr>
  </w:style>
  <w:style w:type="paragraph" w:customStyle="1" w:styleId="z-BottomofForm1">
    <w:name w:val="z-Bottom of Form1"/>
    <w:basedOn w:val="Normal"/>
    <w:next w:val="Normal"/>
    <w:link w:val="z-BottomofFormChar"/>
    <w:uiPriority w:val="99"/>
    <w:semiHidden/>
    <w:unhideWhenUsed/>
    <w:qFormat/>
    <w:rsid w:val="00FB191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1"/>
    <w:uiPriority w:val="99"/>
    <w:semiHidden/>
    <w:qFormat/>
    <w:rsid w:val="00FB191E"/>
    <w:rPr>
      <w:rFonts w:ascii="Arial" w:eastAsia="Times New Roman" w:hAnsi="Arial" w:cs="Arial"/>
      <w:vanish/>
      <w:sz w:val="16"/>
      <w:szCs w:val="16"/>
      <w:lang w:val="en-GB" w:eastAsia="en-GB"/>
    </w:rPr>
  </w:style>
  <w:style w:type="character" w:customStyle="1" w:styleId="html-italic">
    <w:name w:val="html-italic"/>
    <w:basedOn w:val="DefaultParagraphFont"/>
    <w:qFormat/>
    <w:rsid w:val="00FB191E"/>
  </w:style>
  <w:style w:type="character" w:customStyle="1" w:styleId="hlfld-contribauthor">
    <w:name w:val="hlfld-contribauthor"/>
    <w:basedOn w:val="DefaultParagraphFont"/>
    <w:qFormat/>
    <w:rsid w:val="00FB191E"/>
  </w:style>
  <w:style w:type="character" w:customStyle="1" w:styleId="comma-separator">
    <w:name w:val="comma-separator"/>
    <w:basedOn w:val="DefaultParagraphFont"/>
    <w:qFormat/>
    <w:rsid w:val="00FB191E"/>
  </w:style>
  <w:style w:type="character" w:customStyle="1" w:styleId="ms-1">
    <w:name w:val="ms-1"/>
    <w:basedOn w:val="DefaultParagraphFont"/>
    <w:qFormat/>
    <w:rsid w:val="00FB191E"/>
  </w:style>
  <w:style w:type="character" w:customStyle="1" w:styleId="max-w-full">
    <w:name w:val="max-w-full"/>
    <w:basedOn w:val="DefaultParagraphFont"/>
    <w:qFormat/>
    <w:rsid w:val="00FB191E"/>
  </w:style>
  <w:style w:type="character" w:customStyle="1" w:styleId="selected">
    <w:name w:val="selected"/>
    <w:basedOn w:val="DefaultParagraphFont"/>
    <w:qFormat/>
    <w:rsid w:val="00FB191E"/>
  </w:style>
  <w:style w:type="character" w:customStyle="1" w:styleId="citation-1">
    <w:name w:val="citation-1"/>
    <w:basedOn w:val="DefaultParagraphFont"/>
    <w:qFormat/>
    <w:rsid w:val="00FB191E"/>
  </w:style>
  <w:style w:type="character" w:customStyle="1" w:styleId="max-w-15ch">
    <w:name w:val="max-w-[15ch]"/>
    <w:basedOn w:val="DefaultParagraphFont"/>
    <w:qFormat/>
    <w:rsid w:val="00FB191E"/>
  </w:style>
  <w:style w:type="character" w:customStyle="1" w:styleId="mord">
    <w:name w:val="mord"/>
    <w:basedOn w:val="DefaultParagraphFont"/>
    <w:qFormat/>
    <w:rsid w:val="00FB191E"/>
  </w:style>
  <w:style w:type="character" w:customStyle="1" w:styleId="mopen">
    <w:name w:val="mopen"/>
    <w:basedOn w:val="DefaultParagraphFont"/>
    <w:qFormat/>
    <w:rsid w:val="00FB191E"/>
  </w:style>
  <w:style w:type="character" w:customStyle="1" w:styleId="mclose">
    <w:name w:val="mclose"/>
    <w:basedOn w:val="DefaultParagraphFont"/>
    <w:qFormat/>
    <w:rsid w:val="00FB191E"/>
  </w:style>
  <w:style w:type="character" w:customStyle="1" w:styleId="title-text">
    <w:name w:val="title-text"/>
    <w:basedOn w:val="DefaultParagraphFont"/>
    <w:qFormat/>
    <w:rsid w:val="00FB191E"/>
  </w:style>
  <w:style w:type="character" w:customStyle="1" w:styleId="anchor-text">
    <w:name w:val="anchor-text"/>
    <w:basedOn w:val="DefaultParagraphFont"/>
    <w:qFormat/>
    <w:rsid w:val="00FB191E"/>
  </w:style>
  <w:style w:type="character" w:customStyle="1" w:styleId="react-xocs-alternative-link">
    <w:name w:val="react-xocs-alternative-link"/>
    <w:basedOn w:val="DefaultParagraphFont"/>
    <w:qFormat/>
    <w:rsid w:val="00FB191E"/>
  </w:style>
  <w:style w:type="character" w:customStyle="1" w:styleId="given-name">
    <w:name w:val="given-name"/>
    <w:basedOn w:val="DefaultParagraphFont"/>
    <w:qFormat/>
    <w:rsid w:val="00FB191E"/>
  </w:style>
  <w:style w:type="character" w:customStyle="1" w:styleId="text">
    <w:name w:val="text"/>
    <w:basedOn w:val="DefaultParagraphFont"/>
    <w:qFormat/>
    <w:rsid w:val="00FB191E"/>
  </w:style>
  <w:style w:type="character" w:customStyle="1" w:styleId="author-ref">
    <w:name w:val="author-ref"/>
    <w:basedOn w:val="DefaultParagraphFont"/>
    <w:qFormat/>
    <w:rsid w:val="00FB191E"/>
  </w:style>
  <w:style w:type="character" w:customStyle="1" w:styleId="button-link-text">
    <w:name w:val="button-link-text"/>
    <w:basedOn w:val="DefaultParagraphFont"/>
    <w:qFormat/>
    <w:rsid w:val="00FB191E"/>
  </w:style>
  <w:style w:type="character" w:customStyle="1" w:styleId="truncatedauthor">
    <w:name w:val="truncatedauthor"/>
    <w:basedOn w:val="DefaultParagraphFont"/>
    <w:qFormat/>
    <w:rsid w:val="00FB191E"/>
  </w:style>
  <w:style w:type="character" w:customStyle="1" w:styleId="auth-tooltip-trigger">
    <w:name w:val="auth-tooltip-trigger"/>
    <w:basedOn w:val="DefaultParagraphFont"/>
    <w:qFormat/>
    <w:rsid w:val="00FB191E"/>
  </w:style>
  <w:style w:type="character" w:customStyle="1" w:styleId="jnlarticle">
    <w:name w:val="jnlarticle"/>
    <w:basedOn w:val="DefaultParagraphFont"/>
    <w:qFormat/>
    <w:rsid w:val="00FB191E"/>
  </w:style>
  <w:style w:type="character" w:customStyle="1" w:styleId="pub-tooltip-trigger">
    <w:name w:val="pub-tooltip-trigger"/>
    <w:basedOn w:val="DefaultParagraphFont"/>
    <w:qFormat/>
    <w:rsid w:val="00FB191E"/>
  </w:style>
  <w:style w:type="character" w:customStyle="1" w:styleId="Heading4Char">
    <w:name w:val="Heading 4 Char"/>
    <w:basedOn w:val="DefaultParagraphFont"/>
    <w:link w:val="Heading4"/>
    <w:uiPriority w:val="9"/>
    <w:semiHidden/>
    <w:rsid w:val="00482349"/>
    <w:rPr>
      <w:rFonts w:asciiTheme="majorHAnsi" w:eastAsiaTheme="majorEastAsia" w:hAnsiTheme="majorHAnsi" w:cstheme="majorBidi"/>
      <w:i/>
      <w:iCs/>
      <w:color w:val="2E74B5" w:themeColor="accent1" w:themeShade="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8692">
      <w:bodyDiv w:val="1"/>
      <w:marLeft w:val="0"/>
      <w:marRight w:val="0"/>
      <w:marTop w:val="0"/>
      <w:marBottom w:val="0"/>
      <w:divBdr>
        <w:top w:val="none" w:sz="0" w:space="0" w:color="auto"/>
        <w:left w:val="none" w:sz="0" w:space="0" w:color="auto"/>
        <w:bottom w:val="none" w:sz="0" w:space="0" w:color="auto"/>
        <w:right w:val="none" w:sz="0" w:space="0" w:color="auto"/>
      </w:divBdr>
    </w:div>
    <w:div w:id="181282859">
      <w:bodyDiv w:val="1"/>
      <w:marLeft w:val="0"/>
      <w:marRight w:val="0"/>
      <w:marTop w:val="0"/>
      <w:marBottom w:val="0"/>
      <w:divBdr>
        <w:top w:val="none" w:sz="0" w:space="0" w:color="auto"/>
        <w:left w:val="none" w:sz="0" w:space="0" w:color="auto"/>
        <w:bottom w:val="none" w:sz="0" w:space="0" w:color="auto"/>
        <w:right w:val="none" w:sz="0" w:space="0" w:color="auto"/>
      </w:divBdr>
    </w:div>
    <w:div w:id="237787761">
      <w:bodyDiv w:val="1"/>
      <w:marLeft w:val="0"/>
      <w:marRight w:val="0"/>
      <w:marTop w:val="0"/>
      <w:marBottom w:val="0"/>
      <w:divBdr>
        <w:top w:val="none" w:sz="0" w:space="0" w:color="auto"/>
        <w:left w:val="none" w:sz="0" w:space="0" w:color="auto"/>
        <w:bottom w:val="none" w:sz="0" w:space="0" w:color="auto"/>
        <w:right w:val="none" w:sz="0" w:space="0" w:color="auto"/>
      </w:divBdr>
    </w:div>
    <w:div w:id="281616712">
      <w:bodyDiv w:val="1"/>
      <w:marLeft w:val="0"/>
      <w:marRight w:val="0"/>
      <w:marTop w:val="0"/>
      <w:marBottom w:val="0"/>
      <w:divBdr>
        <w:top w:val="none" w:sz="0" w:space="0" w:color="auto"/>
        <w:left w:val="none" w:sz="0" w:space="0" w:color="auto"/>
        <w:bottom w:val="none" w:sz="0" w:space="0" w:color="auto"/>
        <w:right w:val="none" w:sz="0" w:space="0" w:color="auto"/>
      </w:divBdr>
    </w:div>
    <w:div w:id="463935642">
      <w:bodyDiv w:val="1"/>
      <w:marLeft w:val="0"/>
      <w:marRight w:val="0"/>
      <w:marTop w:val="0"/>
      <w:marBottom w:val="0"/>
      <w:divBdr>
        <w:top w:val="none" w:sz="0" w:space="0" w:color="auto"/>
        <w:left w:val="none" w:sz="0" w:space="0" w:color="auto"/>
        <w:bottom w:val="none" w:sz="0" w:space="0" w:color="auto"/>
        <w:right w:val="none" w:sz="0" w:space="0" w:color="auto"/>
      </w:divBdr>
    </w:div>
    <w:div w:id="482358115">
      <w:bodyDiv w:val="1"/>
      <w:marLeft w:val="0"/>
      <w:marRight w:val="0"/>
      <w:marTop w:val="0"/>
      <w:marBottom w:val="0"/>
      <w:divBdr>
        <w:top w:val="none" w:sz="0" w:space="0" w:color="auto"/>
        <w:left w:val="none" w:sz="0" w:space="0" w:color="auto"/>
        <w:bottom w:val="none" w:sz="0" w:space="0" w:color="auto"/>
        <w:right w:val="none" w:sz="0" w:space="0" w:color="auto"/>
      </w:divBdr>
    </w:div>
    <w:div w:id="505170376">
      <w:bodyDiv w:val="1"/>
      <w:marLeft w:val="0"/>
      <w:marRight w:val="0"/>
      <w:marTop w:val="0"/>
      <w:marBottom w:val="0"/>
      <w:divBdr>
        <w:top w:val="none" w:sz="0" w:space="0" w:color="auto"/>
        <w:left w:val="none" w:sz="0" w:space="0" w:color="auto"/>
        <w:bottom w:val="none" w:sz="0" w:space="0" w:color="auto"/>
        <w:right w:val="none" w:sz="0" w:space="0" w:color="auto"/>
      </w:divBdr>
    </w:div>
    <w:div w:id="636952491">
      <w:bodyDiv w:val="1"/>
      <w:marLeft w:val="0"/>
      <w:marRight w:val="0"/>
      <w:marTop w:val="0"/>
      <w:marBottom w:val="0"/>
      <w:divBdr>
        <w:top w:val="none" w:sz="0" w:space="0" w:color="auto"/>
        <w:left w:val="none" w:sz="0" w:space="0" w:color="auto"/>
        <w:bottom w:val="none" w:sz="0" w:space="0" w:color="auto"/>
        <w:right w:val="none" w:sz="0" w:space="0" w:color="auto"/>
      </w:divBdr>
    </w:div>
    <w:div w:id="860973500">
      <w:bodyDiv w:val="1"/>
      <w:marLeft w:val="0"/>
      <w:marRight w:val="0"/>
      <w:marTop w:val="0"/>
      <w:marBottom w:val="0"/>
      <w:divBdr>
        <w:top w:val="none" w:sz="0" w:space="0" w:color="auto"/>
        <w:left w:val="none" w:sz="0" w:space="0" w:color="auto"/>
        <w:bottom w:val="none" w:sz="0" w:space="0" w:color="auto"/>
        <w:right w:val="none" w:sz="0" w:space="0" w:color="auto"/>
      </w:divBdr>
    </w:div>
    <w:div w:id="870147247">
      <w:bodyDiv w:val="1"/>
      <w:marLeft w:val="0"/>
      <w:marRight w:val="0"/>
      <w:marTop w:val="0"/>
      <w:marBottom w:val="0"/>
      <w:divBdr>
        <w:top w:val="none" w:sz="0" w:space="0" w:color="auto"/>
        <w:left w:val="none" w:sz="0" w:space="0" w:color="auto"/>
        <w:bottom w:val="none" w:sz="0" w:space="0" w:color="auto"/>
        <w:right w:val="none" w:sz="0" w:space="0" w:color="auto"/>
      </w:divBdr>
    </w:div>
    <w:div w:id="955284514">
      <w:bodyDiv w:val="1"/>
      <w:marLeft w:val="0"/>
      <w:marRight w:val="0"/>
      <w:marTop w:val="0"/>
      <w:marBottom w:val="0"/>
      <w:divBdr>
        <w:top w:val="none" w:sz="0" w:space="0" w:color="auto"/>
        <w:left w:val="none" w:sz="0" w:space="0" w:color="auto"/>
        <w:bottom w:val="none" w:sz="0" w:space="0" w:color="auto"/>
        <w:right w:val="none" w:sz="0" w:space="0" w:color="auto"/>
      </w:divBdr>
    </w:div>
    <w:div w:id="1222525648">
      <w:bodyDiv w:val="1"/>
      <w:marLeft w:val="0"/>
      <w:marRight w:val="0"/>
      <w:marTop w:val="0"/>
      <w:marBottom w:val="0"/>
      <w:divBdr>
        <w:top w:val="none" w:sz="0" w:space="0" w:color="auto"/>
        <w:left w:val="none" w:sz="0" w:space="0" w:color="auto"/>
        <w:bottom w:val="none" w:sz="0" w:space="0" w:color="auto"/>
        <w:right w:val="none" w:sz="0" w:space="0" w:color="auto"/>
      </w:divBdr>
    </w:div>
    <w:div w:id="1385955731">
      <w:bodyDiv w:val="1"/>
      <w:marLeft w:val="0"/>
      <w:marRight w:val="0"/>
      <w:marTop w:val="0"/>
      <w:marBottom w:val="0"/>
      <w:divBdr>
        <w:top w:val="none" w:sz="0" w:space="0" w:color="auto"/>
        <w:left w:val="none" w:sz="0" w:space="0" w:color="auto"/>
        <w:bottom w:val="none" w:sz="0" w:space="0" w:color="auto"/>
        <w:right w:val="none" w:sz="0" w:space="0" w:color="auto"/>
      </w:divBdr>
    </w:div>
    <w:div w:id="1477338928">
      <w:bodyDiv w:val="1"/>
      <w:marLeft w:val="0"/>
      <w:marRight w:val="0"/>
      <w:marTop w:val="0"/>
      <w:marBottom w:val="0"/>
      <w:divBdr>
        <w:top w:val="none" w:sz="0" w:space="0" w:color="auto"/>
        <w:left w:val="none" w:sz="0" w:space="0" w:color="auto"/>
        <w:bottom w:val="none" w:sz="0" w:space="0" w:color="auto"/>
        <w:right w:val="none" w:sz="0" w:space="0" w:color="auto"/>
      </w:divBdr>
    </w:div>
    <w:div w:id="1582108025">
      <w:bodyDiv w:val="1"/>
      <w:marLeft w:val="0"/>
      <w:marRight w:val="0"/>
      <w:marTop w:val="0"/>
      <w:marBottom w:val="0"/>
      <w:divBdr>
        <w:top w:val="none" w:sz="0" w:space="0" w:color="auto"/>
        <w:left w:val="none" w:sz="0" w:space="0" w:color="auto"/>
        <w:bottom w:val="none" w:sz="0" w:space="0" w:color="auto"/>
        <w:right w:val="none" w:sz="0" w:space="0" w:color="auto"/>
      </w:divBdr>
    </w:div>
    <w:div w:id="1736931786">
      <w:bodyDiv w:val="1"/>
      <w:marLeft w:val="0"/>
      <w:marRight w:val="0"/>
      <w:marTop w:val="0"/>
      <w:marBottom w:val="0"/>
      <w:divBdr>
        <w:top w:val="none" w:sz="0" w:space="0" w:color="auto"/>
        <w:left w:val="none" w:sz="0" w:space="0" w:color="auto"/>
        <w:bottom w:val="none" w:sz="0" w:space="0" w:color="auto"/>
        <w:right w:val="none" w:sz="0" w:space="0" w:color="auto"/>
      </w:divBdr>
    </w:div>
    <w:div w:id="1911424048">
      <w:bodyDiv w:val="1"/>
      <w:marLeft w:val="0"/>
      <w:marRight w:val="0"/>
      <w:marTop w:val="0"/>
      <w:marBottom w:val="0"/>
      <w:divBdr>
        <w:top w:val="none" w:sz="0" w:space="0" w:color="auto"/>
        <w:left w:val="none" w:sz="0" w:space="0" w:color="auto"/>
        <w:bottom w:val="none" w:sz="0" w:space="0" w:color="auto"/>
        <w:right w:val="none" w:sz="0" w:space="0" w:color="auto"/>
      </w:divBdr>
    </w:div>
    <w:div w:id="1948735968">
      <w:bodyDiv w:val="1"/>
      <w:marLeft w:val="0"/>
      <w:marRight w:val="0"/>
      <w:marTop w:val="0"/>
      <w:marBottom w:val="0"/>
      <w:divBdr>
        <w:top w:val="none" w:sz="0" w:space="0" w:color="auto"/>
        <w:left w:val="none" w:sz="0" w:space="0" w:color="auto"/>
        <w:bottom w:val="none" w:sz="0" w:space="0" w:color="auto"/>
        <w:right w:val="none" w:sz="0" w:space="0" w:color="auto"/>
      </w:divBdr>
    </w:div>
    <w:div w:id="1993093232">
      <w:bodyDiv w:val="1"/>
      <w:marLeft w:val="0"/>
      <w:marRight w:val="0"/>
      <w:marTop w:val="0"/>
      <w:marBottom w:val="0"/>
      <w:divBdr>
        <w:top w:val="none" w:sz="0" w:space="0" w:color="auto"/>
        <w:left w:val="none" w:sz="0" w:space="0" w:color="auto"/>
        <w:bottom w:val="none" w:sz="0" w:space="0" w:color="auto"/>
        <w:right w:val="none" w:sz="0" w:space="0" w:color="auto"/>
      </w:divBdr>
    </w:div>
    <w:div w:id="202836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labdullahi59@gmail.com" TargetMode="Externa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hyperlink" Target="https://doi.org/10.3390/membranes13110851" TargetMode="External"/><Relationship Id="rId3" Type="http://schemas.openxmlformats.org/officeDocument/2006/relationships/styles" Target="styles.xml"/><Relationship Id="rId21" Type="http://schemas.openxmlformats.org/officeDocument/2006/relationships/hyperlink" Target="https://doi.org/10.1016/j.molliq.2022.117805"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hyperlink" Target="https://doi.org/10.1556/1886.2024.0003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png"/><Relationship Id="rId29" Type="http://schemas.openxmlformats.org/officeDocument/2006/relationships/hyperlink" Target="https://doi.org/10.1016/j.ccr.2008.07.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1016/j.jinorgbio.2023.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doi.org/10.1016/j.molstruc.2022.130179" TargetMode="External"/><Relationship Id="rId28" Type="http://schemas.openxmlformats.org/officeDocument/2006/relationships/hyperlink" Target="https://doi.org/10.1016/j.molstruc.2023.134921" TargetMode="Externa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hyperlink" Target="https://doi.org/10.1039/C8DT00281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hyperlink" Target="https://doi.org/10.1021/acs.chemrev.2023.6825" TargetMode="External"/><Relationship Id="rId27" Type="http://schemas.openxmlformats.org/officeDocument/2006/relationships/hyperlink" Target="https://doi.org/10.1039/D5RA03626G" TargetMode="External"/><Relationship Id="rId30" Type="http://schemas.openxmlformats.org/officeDocument/2006/relationships/hyperlink" Target="https://doi.org/10.1016/j.poly.2019.02.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50DF-CDF4-40BA-A8B2-431B8993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33</Pages>
  <Words>7054</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USER</cp:lastModifiedBy>
  <cp:revision>14</cp:revision>
  <dcterms:created xsi:type="dcterms:W3CDTF">2026-01-04T10:54:00Z</dcterms:created>
  <dcterms:modified xsi:type="dcterms:W3CDTF">2026-06-16T14:47:00Z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f1d89b3a-f615-442b-a0be-e0dfa3c6a969</vt:lpwstr>
  </property>
  <property fmtid="{D5CDD505-2E9C-101B-9397-08002B2CF9AE}" pid="3" name="KSOProductBuildVer">
    <vt:lpwstr>1033-12.2.0.23131</vt:lpwstr>
  </property>
  <property fmtid="{D5CDD505-2E9C-101B-9397-08002B2CF9AE}" pid="4" name="ICV">
    <vt:lpwstr>BAECEE889262496C9AF6993EC4F9AD3B_12</vt:lpwstr>
  </property>
</Properties>
</file>