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92" w:rsidRDefault="00BE1A92" w:rsidP="00BE1A92">
      <w:pPr>
        <w:jc w:val="both"/>
        <w:rPr>
          <w:rFonts w:ascii="Times New Roman" w:hAnsi="Times New Roman" w:cs="Times New Roman"/>
          <w:sz w:val="24"/>
          <w:szCs w:val="24"/>
        </w:rPr>
      </w:pPr>
    </w:p>
    <w:p w:rsidR="0060182C" w:rsidRDefault="008C05EA" w:rsidP="0060182C">
      <w:pPr>
        <w:spacing w:after="0"/>
        <w:jc w:val="center"/>
        <w:rPr>
          <w:rFonts w:ascii="Times New Roman" w:hAnsi="Times New Roman" w:cs="Times New Roman"/>
          <w:b/>
          <w:sz w:val="24"/>
          <w:szCs w:val="24"/>
        </w:rPr>
      </w:pPr>
      <w:r w:rsidRPr="0037761C">
        <w:rPr>
          <w:rFonts w:ascii="Times New Roman" w:hAnsi="Times New Roman" w:cs="Times New Roman"/>
          <w:b/>
          <w:sz w:val="24"/>
          <w:szCs w:val="24"/>
        </w:rPr>
        <w:t xml:space="preserve">The effectiveness of </w:t>
      </w:r>
      <w:r w:rsidR="00896B9D">
        <w:rPr>
          <w:rFonts w:ascii="Times New Roman" w:hAnsi="Times New Roman" w:cs="Times New Roman"/>
          <w:b/>
          <w:i/>
          <w:sz w:val="24"/>
          <w:szCs w:val="24"/>
        </w:rPr>
        <w:t xml:space="preserve">Myrmeleon </w:t>
      </w:r>
      <w:r w:rsidRPr="0037761C">
        <w:rPr>
          <w:rFonts w:ascii="Times New Roman" w:hAnsi="Times New Roman" w:cs="Times New Roman"/>
          <w:b/>
          <w:sz w:val="24"/>
          <w:szCs w:val="24"/>
        </w:rPr>
        <w:t>sp in reducing</w:t>
      </w:r>
      <w:r>
        <w:rPr>
          <w:rFonts w:ascii="Times New Roman" w:hAnsi="Times New Roman" w:cs="Times New Roman"/>
          <w:b/>
          <w:sz w:val="24"/>
          <w:szCs w:val="24"/>
        </w:rPr>
        <w:t xml:space="preserve"> </w:t>
      </w:r>
      <w:r w:rsidRPr="0037761C">
        <w:rPr>
          <w:rFonts w:ascii="Times New Roman" w:hAnsi="Times New Roman" w:cs="Times New Roman"/>
          <w:b/>
          <w:sz w:val="24"/>
          <w:szCs w:val="24"/>
        </w:rPr>
        <w:t>blood sugar levels to diabetess mellitus patients</w:t>
      </w:r>
      <w:r>
        <w:rPr>
          <w:rFonts w:ascii="Times New Roman" w:hAnsi="Times New Roman" w:cs="Times New Roman"/>
          <w:b/>
          <w:sz w:val="24"/>
          <w:szCs w:val="24"/>
        </w:rPr>
        <w:t xml:space="preserve"> </w:t>
      </w:r>
      <w:r w:rsidRPr="0037761C">
        <w:rPr>
          <w:rFonts w:ascii="Times New Roman" w:hAnsi="Times New Roman" w:cs="Times New Roman"/>
          <w:b/>
          <w:sz w:val="24"/>
          <w:szCs w:val="24"/>
        </w:rPr>
        <w:t xml:space="preserve">in the </w:t>
      </w:r>
      <w:r w:rsidRPr="008C05EA">
        <w:rPr>
          <w:rFonts w:ascii="Times New Roman" w:hAnsi="Times New Roman" w:cs="Times New Roman"/>
          <w:b/>
          <w:sz w:val="24"/>
          <w:szCs w:val="24"/>
        </w:rPr>
        <w:t>Batui health center Banggai Regency.</w:t>
      </w:r>
      <w:r>
        <w:rPr>
          <w:rFonts w:ascii="Times New Roman" w:hAnsi="Times New Roman" w:cs="Times New Roman"/>
          <w:b/>
          <w:sz w:val="24"/>
          <w:szCs w:val="24"/>
        </w:rPr>
        <w:t xml:space="preserve"> </w:t>
      </w:r>
    </w:p>
    <w:p w:rsidR="00C67AF0" w:rsidRDefault="00C67AF0" w:rsidP="00C67AF0">
      <w:pPr>
        <w:jc w:val="center"/>
        <w:rPr>
          <w:rFonts w:ascii="Times New Roman" w:hAnsi="Times New Roman" w:cs="Times New Roman"/>
          <w:sz w:val="24"/>
          <w:szCs w:val="24"/>
        </w:rPr>
      </w:pPr>
    </w:p>
    <w:p w:rsidR="00C67AF0" w:rsidRPr="00C841D6" w:rsidRDefault="00C67AF0" w:rsidP="00C67AF0">
      <w:pPr>
        <w:spacing w:after="0"/>
        <w:jc w:val="center"/>
        <w:rPr>
          <w:rFonts w:ascii="Times New Roman" w:hAnsi="Times New Roman" w:cs="Times New Roman"/>
          <w:sz w:val="24"/>
          <w:szCs w:val="24"/>
        </w:rPr>
      </w:pPr>
      <w:r w:rsidRPr="00C841D6">
        <w:rPr>
          <w:rFonts w:ascii="Times New Roman" w:hAnsi="Times New Roman" w:cs="Times New Roman"/>
          <w:sz w:val="24"/>
          <w:szCs w:val="24"/>
        </w:rPr>
        <w:t>Mirawati Tongko</w:t>
      </w:r>
      <w:r w:rsidR="008C05EA" w:rsidRPr="008C05EA">
        <w:rPr>
          <w:rFonts w:ascii="Times New Roman" w:hAnsi="Times New Roman" w:cs="Times New Roman"/>
          <w:sz w:val="24"/>
          <w:szCs w:val="24"/>
          <w:vertAlign w:val="superscript"/>
        </w:rPr>
        <w:t>1*</w:t>
      </w:r>
      <w:r w:rsidRPr="00C841D6">
        <w:rPr>
          <w:rFonts w:ascii="Times New Roman" w:hAnsi="Times New Roman" w:cs="Times New Roman"/>
          <w:sz w:val="24"/>
          <w:szCs w:val="24"/>
        </w:rPr>
        <w:t>, Siska Mahmud</w:t>
      </w:r>
      <w:r w:rsidR="008C05EA" w:rsidRPr="008C05EA">
        <w:rPr>
          <w:rFonts w:ascii="Times New Roman" w:hAnsi="Times New Roman" w:cs="Times New Roman"/>
          <w:sz w:val="24"/>
          <w:szCs w:val="24"/>
          <w:vertAlign w:val="superscript"/>
        </w:rPr>
        <w:t>1</w:t>
      </w:r>
    </w:p>
    <w:p w:rsidR="00C67AF0" w:rsidRPr="008C05EA" w:rsidRDefault="008C05EA" w:rsidP="0060182C">
      <w:pPr>
        <w:spacing w:after="0"/>
        <w:jc w:val="center"/>
        <w:rPr>
          <w:rFonts w:ascii="Times New Roman" w:hAnsi="Times New Roman" w:cs="Times New Roman"/>
          <w:sz w:val="24"/>
          <w:szCs w:val="24"/>
        </w:rPr>
      </w:pPr>
      <w:r w:rsidRPr="008C05EA">
        <w:rPr>
          <w:rFonts w:ascii="Times New Roman" w:hAnsi="Times New Roman" w:cs="Times New Roman"/>
          <w:sz w:val="24"/>
          <w:szCs w:val="24"/>
          <w:vertAlign w:val="superscript"/>
        </w:rPr>
        <w:t>1</w:t>
      </w:r>
      <w:r w:rsidRPr="008C05EA">
        <w:rPr>
          <w:rFonts w:ascii="Times New Roman" w:hAnsi="Times New Roman" w:cs="Times New Roman"/>
          <w:sz w:val="24"/>
          <w:szCs w:val="24"/>
        </w:rPr>
        <w:t xml:space="preserve">Department of Public Health, Faculty </w:t>
      </w:r>
      <w:r>
        <w:rPr>
          <w:rFonts w:ascii="Times New Roman" w:hAnsi="Times New Roman" w:cs="Times New Roman"/>
          <w:sz w:val="24"/>
          <w:szCs w:val="24"/>
        </w:rPr>
        <w:t>of Public Health, Tompotika</w:t>
      </w:r>
      <w:r w:rsidRPr="008C05EA">
        <w:rPr>
          <w:rFonts w:ascii="Times New Roman" w:hAnsi="Times New Roman" w:cs="Times New Roman"/>
          <w:sz w:val="24"/>
          <w:szCs w:val="24"/>
        </w:rPr>
        <w:t xml:space="preserve"> </w:t>
      </w:r>
      <w:r>
        <w:rPr>
          <w:rFonts w:ascii="Times New Roman" w:hAnsi="Times New Roman" w:cs="Times New Roman"/>
          <w:sz w:val="24"/>
          <w:szCs w:val="24"/>
        </w:rPr>
        <w:t>Luwuk</w:t>
      </w:r>
      <w:r w:rsidRPr="008C05EA">
        <w:rPr>
          <w:rFonts w:ascii="Times New Roman" w:hAnsi="Times New Roman" w:cs="Times New Roman"/>
          <w:sz w:val="24"/>
          <w:szCs w:val="24"/>
        </w:rPr>
        <w:t xml:space="preserve"> University</w:t>
      </w:r>
      <w:r>
        <w:rPr>
          <w:rFonts w:ascii="Times New Roman" w:hAnsi="Times New Roman" w:cs="Times New Roman"/>
          <w:sz w:val="24"/>
          <w:szCs w:val="24"/>
        </w:rPr>
        <w:t xml:space="preserve"> </w:t>
      </w:r>
    </w:p>
    <w:p w:rsidR="008C05EA" w:rsidRPr="008C05EA" w:rsidRDefault="008C05EA" w:rsidP="0060182C">
      <w:pPr>
        <w:spacing w:after="0"/>
        <w:jc w:val="center"/>
        <w:rPr>
          <w:rFonts w:ascii="Times New Roman" w:hAnsi="Times New Roman" w:cs="Times New Roman"/>
          <w:sz w:val="24"/>
          <w:szCs w:val="24"/>
        </w:rPr>
      </w:pPr>
      <w:r w:rsidRPr="008C05EA">
        <w:rPr>
          <w:rFonts w:ascii="Times New Roman" w:hAnsi="Times New Roman" w:cs="Times New Roman"/>
          <w:sz w:val="24"/>
          <w:szCs w:val="24"/>
        </w:rPr>
        <w:t xml:space="preserve">*Email: </w:t>
      </w:r>
      <w:hyperlink r:id="rId8" w:history="1">
        <w:r w:rsidR="009B26E3" w:rsidRPr="0072281F">
          <w:rPr>
            <w:rStyle w:val="Hyperlink"/>
            <w:rFonts w:ascii="Times New Roman" w:hAnsi="Times New Roman" w:cs="Times New Roman"/>
            <w:sz w:val="24"/>
            <w:szCs w:val="24"/>
          </w:rPr>
          <w:t>tongkomirha@gmail.com</w:t>
        </w:r>
      </w:hyperlink>
    </w:p>
    <w:p w:rsidR="008C05EA" w:rsidRDefault="008C05EA" w:rsidP="008C05EA">
      <w:pPr>
        <w:spacing w:after="0"/>
        <w:rPr>
          <w:rFonts w:ascii="Times New Roman" w:hAnsi="Times New Roman" w:cs="Times New Roman"/>
          <w:b/>
          <w:sz w:val="24"/>
          <w:szCs w:val="24"/>
        </w:rPr>
      </w:pPr>
    </w:p>
    <w:p w:rsidR="00E43054" w:rsidRDefault="00E43054" w:rsidP="008C05EA">
      <w:pPr>
        <w:spacing w:after="0"/>
        <w:rPr>
          <w:rFonts w:ascii="Times New Roman" w:hAnsi="Times New Roman" w:cs="Times New Roman"/>
          <w:b/>
          <w:sz w:val="24"/>
          <w:szCs w:val="24"/>
        </w:rPr>
      </w:pPr>
    </w:p>
    <w:p w:rsidR="008C05EA" w:rsidRDefault="008C05EA" w:rsidP="008C05EA">
      <w:pPr>
        <w:spacing w:after="0"/>
        <w:rPr>
          <w:rFonts w:ascii="Times New Roman" w:hAnsi="Times New Roman" w:cs="Times New Roman"/>
          <w:b/>
          <w:sz w:val="24"/>
          <w:szCs w:val="24"/>
        </w:rPr>
      </w:pPr>
      <w:r>
        <w:rPr>
          <w:rFonts w:ascii="Times New Roman" w:hAnsi="Times New Roman" w:cs="Times New Roman"/>
          <w:b/>
          <w:sz w:val="24"/>
          <w:szCs w:val="24"/>
        </w:rPr>
        <w:t>Abstract</w:t>
      </w:r>
    </w:p>
    <w:p w:rsidR="000F52BE" w:rsidRDefault="00896B9D" w:rsidP="000F52BE">
      <w:pPr>
        <w:ind w:firstLine="709"/>
        <w:jc w:val="both"/>
        <w:rPr>
          <w:rFonts w:ascii="Times New Roman" w:hAnsi="Times New Roman" w:cs="Times New Roman"/>
          <w:sz w:val="24"/>
          <w:szCs w:val="24"/>
        </w:rPr>
      </w:pPr>
      <w:r>
        <w:rPr>
          <w:rFonts w:ascii="Times New Roman" w:hAnsi="Times New Roman" w:cs="Times New Roman"/>
          <w:i/>
          <w:sz w:val="24"/>
          <w:szCs w:val="24"/>
        </w:rPr>
        <w:t xml:space="preserve">Myrmeleon </w:t>
      </w:r>
      <w:r>
        <w:rPr>
          <w:rFonts w:ascii="Times New Roman" w:hAnsi="Times New Roman" w:cs="Times New Roman"/>
          <w:sz w:val="24"/>
          <w:szCs w:val="24"/>
        </w:rPr>
        <w:t xml:space="preserve">sp. </w:t>
      </w:r>
      <w:r w:rsidR="000F52BE" w:rsidRPr="000F52BE">
        <w:rPr>
          <w:rFonts w:ascii="Times New Roman" w:hAnsi="Times New Roman" w:cs="Times New Roman"/>
          <w:sz w:val="24"/>
          <w:szCs w:val="24"/>
        </w:rPr>
        <w:t xml:space="preserve">is an insect that lives in the soil that some people believe in a certain ethnicity in the treatment of Diabetes disease. This research aims to find out the effectiveness of </w:t>
      </w:r>
      <w:r w:rsidRPr="00896B9D">
        <w:rPr>
          <w:rFonts w:ascii="Times New Roman" w:hAnsi="Times New Roman" w:cs="Times New Roman"/>
          <w:i/>
          <w:sz w:val="24"/>
          <w:szCs w:val="24"/>
        </w:rPr>
        <w:t>Myrmeleon</w:t>
      </w:r>
      <w:r>
        <w:rPr>
          <w:rFonts w:ascii="Times New Roman" w:hAnsi="Times New Roman" w:cs="Times New Roman"/>
          <w:sz w:val="24"/>
          <w:szCs w:val="24"/>
        </w:rPr>
        <w:t xml:space="preserve"> sp </w:t>
      </w:r>
      <w:r w:rsidR="000F52BE" w:rsidRPr="000F52BE">
        <w:rPr>
          <w:rFonts w:ascii="Times New Roman" w:hAnsi="Times New Roman" w:cs="Times New Roman"/>
          <w:sz w:val="24"/>
          <w:szCs w:val="24"/>
        </w:rPr>
        <w:t>in lowering blood sugar levels of Diabetes Mellitus patients in the working area of Puskesmas Batui Banggai Regency.</w:t>
      </w:r>
      <w:bookmarkStart w:id="0" w:name="_GoBack"/>
      <w:bookmarkEnd w:id="0"/>
      <w:r w:rsidR="000F52BE" w:rsidRPr="000F52BE">
        <w:rPr>
          <w:rFonts w:ascii="Times New Roman" w:hAnsi="Times New Roman" w:cs="Times New Roman"/>
          <w:sz w:val="24"/>
          <w:szCs w:val="24"/>
        </w:rPr>
        <w:t xml:space="preserve"> This type of research is a "Quasi experiment" using the design of One group Pretest-Posttest. The study sample was patients diagnosed with Diabetes </w:t>
      </w:r>
      <w:r>
        <w:rPr>
          <w:rFonts w:ascii="Times New Roman" w:hAnsi="Times New Roman" w:cs="Times New Roman"/>
          <w:sz w:val="24"/>
          <w:szCs w:val="24"/>
        </w:rPr>
        <w:t>m</w:t>
      </w:r>
      <w:r w:rsidR="000F52BE" w:rsidRPr="000F52BE">
        <w:rPr>
          <w:rFonts w:ascii="Times New Roman" w:hAnsi="Times New Roman" w:cs="Times New Roman"/>
          <w:sz w:val="24"/>
          <w:szCs w:val="24"/>
        </w:rPr>
        <w:t xml:space="preserve">ellitus in the working area of Batui Health Center Banggai Regency, Respondents were divided into a group of experiments that were previously sampled selected with purposive sampling techniques, then the data was analyzed to find out the effectiveness of </w:t>
      </w:r>
      <w:r>
        <w:rPr>
          <w:rFonts w:ascii="Times New Roman" w:hAnsi="Times New Roman" w:cs="Times New Roman"/>
          <w:i/>
          <w:sz w:val="24"/>
          <w:szCs w:val="24"/>
        </w:rPr>
        <w:t xml:space="preserve">Myrmeleon </w:t>
      </w:r>
      <w:r>
        <w:rPr>
          <w:rFonts w:ascii="Times New Roman" w:hAnsi="Times New Roman" w:cs="Times New Roman"/>
          <w:sz w:val="24"/>
          <w:szCs w:val="24"/>
        </w:rPr>
        <w:t>sp</w:t>
      </w:r>
      <w:r w:rsidR="000F52BE" w:rsidRPr="000F52BE">
        <w:rPr>
          <w:rFonts w:ascii="Times New Roman" w:hAnsi="Times New Roman" w:cs="Times New Roman"/>
          <w:sz w:val="24"/>
          <w:szCs w:val="24"/>
        </w:rPr>
        <w:t xml:space="preserve">, To test the hypothesis of this study used Wilcoxon Signed Rank Test with SPSS program. The results showed that there was a significant difference between GDS measurements before and after </w:t>
      </w:r>
      <w:r>
        <w:rPr>
          <w:rFonts w:ascii="Times New Roman" w:hAnsi="Times New Roman" w:cs="Times New Roman"/>
          <w:i/>
          <w:sz w:val="24"/>
          <w:szCs w:val="24"/>
        </w:rPr>
        <w:t xml:space="preserve">Myrmeleon </w:t>
      </w:r>
      <w:r>
        <w:rPr>
          <w:rFonts w:ascii="Times New Roman" w:hAnsi="Times New Roman" w:cs="Times New Roman"/>
          <w:sz w:val="24"/>
          <w:szCs w:val="24"/>
        </w:rPr>
        <w:t>sp</w:t>
      </w:r>
      <w:r w:rsidR="000F52BE" w:rsidRPr="000F52BE">
        <w:rPr>
          <w:rFonts w:ascii="Times New Roman" w:hAnsi="Times New Roman" w:cs="Times New Roman"/>
          <w:sz w:val="24"/>
          <w:szCs w:val="24"/>
        </w:rPr>
        <w:t xml:space="preserve"> consumption. It concluded that </w:t>
      </w:r>
      <w:r>
        <w:rPr>
          <w:rFonts w:ascii="Times New Roman" w:hAnsi="Times New Roman" w:cs="Times New Roman"/>
          <w:i/>
          <w:sz w:val="24"/>
          <w:szCs w:val="24"/>
        </w:rPr>
        <w:t xml:space="preserve">Myrmeleon </w:t>
      </w:r>
      <w:r>
        <w:rPr>
          <w:rFonts w:ascii="Times New Roman" w:hAnsi="Times New Roman" w:cs="Times New Roman"/>
          <w:sz w:val="24"/>
          <w:szCs w:val="24"/>
        </w:rPr>
        <w:t>sp</w:t>
      </w:r>
      <w:r w:rsidR="000F52BE" w:rsidRPr="000F52BE">
        <w:rPr>
          <w:rFonts w:ascii="Times New Roman" w:hAnsi="Times New Roman" w:cs="Times New Roman"/>
          <w:sz w:val="24"/>
          <w:szCs w:val="24"/>
        </w:rPr>
        <w:t xml:space="preserve"> is effective in lowering blood sugar levels in patients with Diabates </w:t>
      </w:r>
      <w:r w:rsidR="000F52BE">
        <w:rPr>
          <w:rFonts w:ascii="Times New Roman" w:hAnsi="Times New Roman" w:cs="Times New Roman"/>
          <w:sz w:val="24"/>
          <w:szCs w:val="24"/>
        </w:rPr>
        <w:t>m</w:t>
      </w:r>
      <w:r w:rsidR="000F52BE" w:rsidRPr="000F52BE">
        <w:rPr>
          <w:rFonts w:ascii="Times New Roman" w:hAnsi="Times New Roman" w:cs="Times New Roman"/>
          <w:sz w:val="24"/>
          <w:szCs w:val="24"/>
        </w:rPr>
        <w:t xml:space="preserve">ellitus. </w:t>
      </w:r>
    </w:p>
    <w:p w:rsidR="0060182C" w:rsidRPr="00544C35" w:rsidRDefault="0060182C" w:rsidP="00AD3F9A">
      <w:pPr>
        <w:jc w:val="both"/>
        <w:rPr>
          <w:rFonts w:ascii="Times New Roman" w:hAnsi="Times New Roman" w:cs="Times New Roman"/>
          <w:sz w:val="24"/>
          <w:szCs w:val="24"/>
        </w:rPr>
      </w:pPr>
      <w:r w:rsidRPr="00544C35">
        <w:rPr>
          <w:rFonts w:ascii="Times New Roman" w:hAnsi="Times New Roman" w:cs="Times New Roman"/>
          <w:sz w:val="24"/>
          <w:szCs w:val="24"/>
        </w:rPr>
        <w:t xml:space="preserve">Key </w:t>
      </w:r>
      <w:r w:rsidR="00E43054" w:rsidRPr="00544C35">
        <w:rPr>
          <w:rFonts w:ascii="Times New Roman" w:hAnsi="Times New Roman" w:cs="Times New Roman"/>
          <w:sz w:val="24"/>
          <w:szCs w:val="24"/>
        </w:rPr>
        <w:t xml:space="preserve">words </w:t>
      </w:r>
      <w:r w:rsidRPr="00544C35">
        <w:rPr>
          <w:rFonts w:ascii="Times New Roman" w:hAnsi="Times New Roman" w:cs="Times New Roman"/>
          <w:sz w:val="24"/>
          <w:szCs w:val="24"/>
        </w:rPr>
        <w:t xml:space="preserve">: </w:t>
      </w:r>
      <w:r w:rsidR="00544C35" w:rsidRPr="000F52BE">
        <w:rPr>
          <w:rFonts w:ascii="Times New Roman" w:hAnsi="Times New Roman" w:cs="Times New Roman"/>
          <w:i/>
          <w:sz w:val="24"/>
          <w:szCs w:val="24"/>
        </w:rPr>
        <w:t>Myrmelleon</w:t>
      </w:r>
      <w:r w:rsidR="00544C35" w:rsidRPr="00544C35">
        <w:rPr>
          <w:rFonts w:ascii="Times New Roman" w:hAnsi="Times New Roman" w:cs="Times New Roman"/>
          <w:sz w:val="24"/>
          <w:szCs w:val="24"/>
        </w:rPr>
        <w:t>,</w:t>
      </w:r>
      <w:r w:rsidRPr="00544C35">
        <w:rPr>
          <w:rFonts w:ascii="Times New Roman" w:hAnsi="Times New Roman" w:cs="Times New Roman"/>
          <w:sz w:val="24"/>
          <w:szCs w:val="24"/>
        </w:rPr>
        <w:t xml:space="preserve"> </w:t>
      </w:r>
      <w:r w:rsidR="00544C35" w:rsidRPr="00544C35">
        <w:rPr>
          <w:rFonts w:ascii="Times New Roman" w:hAnsi="Times New Roman" w:cs="Times New Roman"/>
          <w:sz w:val="24"/>
          <w:szCs w:val="24"/>
        </w:rPr>
        <w:t>diabetes mellitus</w:t>
      </w:r>
      <w:r w:rsidR="00544C35">
        <w:rPr>
          <w:rFonts w:ascii="Times New Roman" w:hAnsi="Times New Roman" w:cs="Times New Roman"/>
          <w:sz w:val="24"/>
          <w:szCs w:val="24"/>
        </w:rPr>
        <w:t>.</w:t>
      </w:r>
    </w:p>
    <w:p w:rsidR="0060182C" w:rsidRDefault="0060182C" w:rsidP="00E43054">
      <w:pPr>
        <w:spacing w:after="0"/>
        <w:jc w:val="both"/>
        <w:rPr>
          <w:rFonts w:ascii="Times New Roman" w:hAnsi="Times New Roman" w:cs="Times New Roman"/>
          <w:sz w:val="24"/>
          <w:szCs w:val="24"/>
        </w:rPr>
      </w:pPr>
    </w:p>
    <w:p w:rsidR="004C0E3C" w:rsidRDefault="0060182C" w:rsidP="00E430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rPr>
      </w:pPr>
      <w:r w:rsidRPr="008634BA">
        <w:rPr>
          <w:rFonts w:ascii="Times New Roman" w:eastAsia="Times New Roman" w:hAnsi="Times New Roman"/>
          <w:b/>
          <w:color w:val="212121"/>
          <w:sz w:val="24"/>
          <w:szCs w:val="24"/>
        </w:rPr>
        <w:t>Introduction</w:t>
      </w:r>
    </w:p>
    <w:p w:rsidR="0060182C" w:rsidRPr="004C5DE8" w:rsidRDefault="006B215F" w:rsidP="004C5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trike/>
          <w:color w:val="000000" w:themeColor="text1"/>
          <w:sz w:val="24"/>
          <w:szCs w:val="24"/>
        </w:rPr>
      </w:pPr>
      <w:r w:rsidRPr="004C5DE8">
        <w:rPr>
          <w:rFonts w:ascii="Times New Roman" w:hAnsi="Times New Roman" w:cs="Times New Roman"/>
          <w:color w:val="000000" w:themeColor="text1"/>
          <w:sz w:val="24"/>
          <w:szCs w:val="24"/>
        </w:rPr>
        <w:t xml:space="preserve">The main health problem experienced by developing countries today is the </w:t>
      </w:r>
      <w:r w:rsidR="004C5DE8" w:rsidRPr="004C5DE8">
        <w:rPr>
          <w:rFonts w:ascii="Times New Roman" w:hAnsi="Times New Roman" w:cs="Times New Roman"/>
          <w:color w:val="000000" w:themeColor="text1"/>
          <w:sz w:val="24"/>
          <w:szCs w:val="24"/>
        </w:rPr>
        <w:t xml:space="preserve">diabetess </w:t>
      </w:r>
      <w:r w:rsidR="00610084" w:rsidRPr="004C5DE8">
        <w:rPr>
          <w:rFonts w:ascii="Times New Roman" w:hAnsi="Times New Roman" w:cs="Times New Roman"/>
          <w:color w:val="000000" w:themeColor="text1"/>
          <w:sz w:val="24"/>
          <w:szCs w:val="24"/>
        </w:rPr>
        <w:t>mellitus</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10.2337/diacare.28.1.177","author":[{"dropping-particle":"","family":"Brown","given":"JS","non-dropping-particle":"","parse-names":false,"suffix":""},{"dropping-particle":"","family":"Wessells","given":"H","non-dropping-particle":"","parse-names":false,"suffix":""},{"dropping-particle":"","family":"Chancellor","given":"MB","non-dropping-particle":"","parse-names":false,"suffix":""},{"dropping-particle":"","family":"Howards","given":"SS","non-dropping-particle":"","parse-names":false,"suffix":""},{"dropping-particle":"","family":"Stamm","given":"WE","non-dropping-particle":"","parse-names":false,"suffix":""},{"dropping-particle":"","family":"Stapleton","given":"AE","non-dropping-particle":"","parse-names":false,"suffix":""},{"dropping-particle":"","family":"Steers","given":"WD","non-dropping-particle":"","parse-names":false,"suffix":""},{"dropping-particle":"","family":"Eeden","given":"SK","non-dropping-particle":"Van Den","parse-names":false,"suffix":""},{"dropping-particle":"","family":"McVary","given":"KT","non-dropping-particle":"","parse-names":false,"suffix":""}],"container-title":"Diabetes Care","id":"ITEM-1","issue":"1","issued":{"date-parts":[["2005"]]},"page":"177-185","title":"Urological complications of diabetes.","type":"article-journal","volume":"28"},"uris":["http://www.mendeley.com/documents/?uuid=6fe44772-a1c9-4d45-bca3-63b89ba2c7cf"]}],"mendeley":{"formattedCitation":"(Brown et al., 2005)","manualFormatting":"(Brown et al., 2005;","plainTextFormattedCitation":"(Brown et al., 2005)","previouslyFormattedCitation":"(Brown et al., 2005)"},"properties":{"noteIndex":0},"schema":"https://github.com/citation-style-language/schema/raw/master/csl-citation.json"}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(Brown et al., 2005</w:t>
      </w:r>
      <w:r w:rsidR="009B26E3">
        <w:rPr>
          <w:rFonts w:ascii="Times New Roman" w:hAnsi="Times New Roman" w:cs="Times New Roman"/>
          <w:noProof/>
          <w:color w:val="000000" w:themeColor="text1"/>
          <w:sz w:val="24"/>
          <w:szCs w:val="24"/>
        </w:rPr>
        <w:t>;</w:t>
      </w:r>
      <w:r w:rsidR="009B26E3">
        <w:rPr>
          <w:rFonts w:ascii="Times New Roman" w:hAnsi="Times New Roman" w:cs="Times New Roman"/>
          <w:color w:val="000000" w:themeColor="text1"/>
          <w:sz w:val="24"/>
          <w:szCs w:val="24"/>
        </w:rPr>
        <w:fldChar w:fldCharType="end"/>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{"citationItems":[{"id":"ITEM-1","itemData":{"DOI":"10.1038/nrd4657","ISSN":"14741784","PMID":"26493766","abstract":"The complement system is a key innate immune defence against infection and an important driver of inflammation; however, these very properties can also cause harm. Inappropriate or uncontrolled activation of complement can cause local and/or systemic inflammation, tissue damage and disease. Complement provides numerous options for drug development as it is a proteolytic cascade that involves nine specific proteases, unique multimolecular activation and lytic complexes, an arsenal of natural inhibitors, and numerous receptors that bind to activation fragments. Drug design is facilitated by the increasingly detailed structural understanding of the molecules involved in the complement system. Only two anti-complement drugs are currently on the market, but many more are being developed for diseases that include infectious, inflammatory, degenerative, traumatic and neoplastic disorders. In this Review, we describe the history, current landscape and future directions for anti-complement therapies.","author":[{"dropping-particle":"","family":"Morgan","given":"B Paul","non-dropping-particle":"","parse-names":false,"suffix":""},{"dropping-particle":"","family":"Harris","given":"Claire L","non-dropping-particle":"","parse-names":false,"suffix":""}],"container-title":"Nature Reviews Drug Discovery","id":"ITEM-1","issue":"12","issued":{"date-parts":[["2015"]]},"page":"857-877","title":"Complement, a target for therapy in inflammatory and degenerative diseases","type":"article-journal","volume":"14"},"uris":["http://www.mendeley.com/documents/?uuid=23e08aca-23c5-4d52-9450-d8ea9332755a"]}],"mendeley":{"formattedCitation":"(Morgan &amp; Harris, 2015)","manualFormatting":" Morgan &amp; Harris, 2015)","plainTextFormattedCitation":"(Morgan &amp; Harris, 2015)","previouslyFormattedCitation":"(Morgan &amp; Harris, 2015)"},"properties":{"noteIndex":0},"schema":"https://github.com/citation-style-language/schema/raw/master/csl-citation.json"}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Pr>
          <w:rFonts w:ascii="Times New Roman" w:hAnsi="Times New Roman" w:cs="Times New Roman"/>
          <w:noProof/>
          <w:color w:val="000000" w:themeColor="text1"/>
          <w:sz w:val="24"/>
          <w:szCs w:val="24"/>
        </w:rPr>
        <w:t xml:space="preserve"> </w:t>
      </w:r>
      <w:r w:rsidR="009B26E3" w:rsidRPr="009B26E3">
        <w:rPr>
          <w:rFonts w:ascii="Times New Roman" w:hAnsi="Times New Roman" w:cs="Times New Roman"/>
          <w:noProof/>
          <w:color w:val="000000" w:themeColor="text1"/>
          <w:sz w:val="24"/>
          <w:szCs w:val="24"/>
        </w:rPr>
        <w:t>Morgan &amp; Harris, 2015)</w:t>
      </w:r>
      <w:r w:rsidR="009B26E3">
        <w:rPr>
          <w:rFonts w:ascii="Times New Roman" w:hAnsi="Times New Roman" w:cs="Times New Roman"/>
          <w:color w:val="000000" w:themeColor="text1"/>
          <w:sz w:val="24"/>
          <w:szCs w:val="24"/>
        </w:rPr>
        <w:fldChar w:fldCharType="end"/>
      </w:r>
      <w:r w:rsidR="009B26E3">
        <w:rPr>
          <w:rFonts w:ascii="Times New Roman" w:hAnsi="Times New Roman" w:cs="Times New Roman"/>
          <w:color w:val="000000" w:themeColor="text1"/>
          <w:sz w:val="24"/>
          <w:szCs w:val="24"/>
        </w:rPr>
        <w:t xml:space="preserve">. </w:t>
      </w:r>
      <w:r w:rsidR="007F6803">
        <w:rPr>
          <w:rFonts w:ascii="Times New Roman" w:hAnsi="Times New Roman" w:cs="Times New Roman"/>
          <w:color w:val="000000" w:themeColor="text1"/>
          <w:sz w:val="24"/>
          <w:szCs w:val="24"/>
        </w:rPr>
        <w:t xml:space="preserve">Diabete </w:t>
      </w:r>
      <w:r w:rsidR="007F6803" w:rsidRPr="004C5DE8">
        <w:rPr>
          <w:rFonts w:ascii="Times New Roman" w:hAnsi="Times New Roman" w:cs="Times New Roman"/>
          <w:color w:val="000000" w:themeColor="text1"/>
          <w:sz w:val="24"/>
          <w:szCs w:val="24"/>
        </w:rPr>
        <w:t xml:space="preserve">mellitus </w:t>
      </w:r>
      <w:r w:rsidR="00923A0A">
        <w:rPr>
          <w:rFonts w:ascii="Times New Roman" w:hAnsi="Times New Roman" w:cs="Times New Roman"/>
          <w:color w:val="000000" w:themeColor="text1"/>
          <w:sz w:val="24"/>
          <w:szCs w:val="24"/>
        </w:rPr>
        <w:t xml:space="preserve">(DM) </w:t>
      </w:r>
      <w:r w:rsidRPr="004C5DE8">
        <w:rPr>
          <w:rFonts w:ascii="Times New Roman" w:hAnsi="Times New Roman" w:cs="Times New Roman"/>
          <w:color w:val="000000" w:themeColor="text1"/>
          <w:sz w:val="24"/>
          <w:szCs w:val="24"/>
        </w:rPr>
        <w:t>is a condition in which blood sug</w:t>
      </w:r>
      <w:r w:rsidR="00610084" w:rsidRPr="004C5DE8">
        <w:rPr>
          <w:rFonts w:ascii="Times New Roman" w:hAnsi="Times New Roman" w:cs="Times New Roman"/>
          <w:color w:val="000000" w:themeColor="text1"/>
          <w:sz w:val="24"/>
          <w:szCs w:val="24"/>
        </w:rPr>
        <w:t>ar levels exceed normal limits otherwise known as hyperglycemia</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{"citationItems":[{"id":"ITEM-1","itemData":{"DOI":"10.1007/BF02913083","ISSN":"09701915","abstract":"Non-insulin dependent diabetes mellitus (NIDDM) is the most rapidly growing chronic metabolic disorder in the world. With advancement in the age and duration of diabetes there is a gradual tendency for the level of blood sugar to rise along with a subsequent increase in the HbA1c as well as in the fasting insulin level. Whether this is an aging process or increased frequency of diabetes is still controversial. The correlation between glucose and insulin sensitivity is consistent with the idea that the degree of chronic hyperglycemia is a cause of excessive insulin resistance in type 2 diabetes, i.e. the insulin resistance which characterizes type 2 diabetes but not nondiabetic subjects matched for age, gender, family history and duration of diabetes. The study comprised a total of 76 subjects out of which 30 were normal, non-diabetic persons and the rest 46 were diabetics with different duration of time in years, after being diagnosed diabetic. Data was analyzed after dividing the subjects into four groups - Group 1 comprised of one year old diabetics, Group 2 was made up of those, who had diabetes, for the past 2-5 years, Group 3 included patients who were diabetic since more than 5 years and Group 4 included non-diabetics as the normal control group. The results obtained indicated that the HbA1c levels showed a significant increase with the duration of diabetes as well as the insulin level showed a significant correlation after adjustment for age, sex and duration of diabetes.","author":[{"dropping-particle":"","family":"Verma","given":"Meena","non-dropping-particle":"","parse-names":false,"suffix":""},{"dropping-particle":"","family":"Paneri","given":"Sangeeta","non-dropping-particle":"","parse-names":false,"suffix":""},{"dropping-particle":"","family":"Badi","given":"Preetha","non-dropping-particle":"","parse-names":false,"suffix":""},{"dropping-particle":"","family":"Raman","given":"PG","non-dropping-particle":"","parse-names":false,"suffix":""}],"container-title":"Indian Journal of Clinical Biochemistry","id":"ITEM-1","issue":"1","issued":{"date-parts":[["2006"]]},"page":"142-146","title":"Effect of increasing duration of diabetes mellitus type 2 on glycated hemoglobin and insulin sensitivity","type":"article-journal","volume":"21"},"uris":["http://www.mendeley.com/documents/?uuid=27eb1cfa-2565-41f4-88ab-2ed6f38926ae"]}],"mendeley":{"formattedCitation":"(Verma et al., 2006)","plainTextFormattedCitation":"(Verma et al., 2006)","previouslyFormattedCitation":"(Verma et al., 2006)"},"properties":{"noteIndex":0},"schema":"https://github.com/citation-style-language/schema/raw/master/csl-citation.json"}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(Verma et al., 2006)</w:t>
      </w:r>
      <w:r w:rsidR="009B26E3">
        <w:rPr>
          <w:rFonts w:ascii="Times New Roman" w:hAnsi="Times New Roman" w:cs="Times New Roman"/>
          <w:color w:val="000000" w:themeColor="text1"/>
          <w:sz w:val="24"/>
          <w:szCs w:val="24"/>
        </w:rPr>
        <w:fldChar w:fldCharType="end"/>
      </w:r>
      <w:r w:rsidR="009F15A5" w:rsidRPr="004C5DE8">
        <w:rPr>
          <w:rFonts w:ascii="Times New Roman" w:hAnsi="Times New Roman" w:cs="Times New Roman"/>
          <w:color w:val="000000" w:themeColor="text1"/>
          <w:sz w:val="24"/>
          <w:szCs w:val="24"/>
        </w:rPr>
        <w:t xml:space="preserve">, if the condition is not well controlled leads to various complications of the disease which will aggravate the condition leading to death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author":[{"dropping-particle":"","family":"Deshpande","given":"AD","non-dropping-particle":"","parse-names":false,"suffix":""},{"dropping-particle":"","family":"Harris-Hayes","given":"M","non-dropping-particle":"","parse-names":false,"suffix":""},{"dropping-particle":"","family":"Schootman","given":"M","non-dropping-particle":"","parse-names":false,"suffix":""}],"container-title":"Physical Therapy","id":"ITEM-1","issue":"11","issued":{"date-parts":[["2008"]]},"page":"1254-1264","title":"Epidemiology of Diabetes and Diabetes-Related Complications","type":"article-journal","volume":"88"},"uris":["http://www.mendeley.com/documents/?uuid=ea36d1df-fc6d-4c4e-b2b1-724292258c3d"]}],"mendeley":{"formattedCitation":"(Deshpande et al., 2008)","plainTextFormattedCitation":"(Deshpande et al., 2008)","previouslyFormattedCitation":"(Deshpande et al., 2008)"},"properties":{"noteIndex":0},"schema":"https://github.com/citation-style-language/schema/raw/master/csl-citation.json"}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(Deshpande et al., 2008)</w:t>
      </w:r>
      <w:r w:rsidR="009B26E3">
        <w:rPr>
          <w:rFonts w:ascii="Times New Roman" w:hAnsi="Times New Roman" w:cs="Times New Roman"/>
          <w:color w:val="000000" w:themeColor="text1"/>
          <w:sz w:val="24"/>
          <w:szCs w:val="24"/>
        </w:rPr>
        <w:fldChar w:fldCharType="end"/>
      </w:r>
      <w:r w:rsidR="009F15A5" w:rsidRPr="004C5DE8">
        <w:rPr>
          <w:rFonts w:ascii="Times New Roman" w:hAnsi="Times New Roman" w:cs="Times New Roman"/>
          <w:color w:val="000000" w:themeColor="text1"/>
          <w:sz w:val="24"/>
          <w:szCs w:val="24"/>
        </w:rPr>
        <w:t>.</w:t>
      </w:r>
      <w:r w:rsidR="004C5DE8" w:rsidRPr="004C5DE8">
        <w:rPr>
          <w:rFonts w:ascii="Times New Roman" w:hAnsi="Times New Roman" w:cs="Times New Roman"/>
          <w:color w:val="000000" w:themeColor="text1"/>
          <w:sz w:val="24"/>
          <w:szCs w:val="24"/>
        </w:rPr>
        <w:t xml:space="preserve"> </w:t>
      </w:r>
      <w:r w:rsidR="00471C3C" w:rsidRPr="004C5DE8">
        <w:rPr>
          <w:rFonts w:ascii="Times New Roman" w:hAnsi="Times New Roman" w:cs="Times New Roman"/>
          <w:color w:val="000000" w:themeColor="text1"/>
          <w:sz w:val="24"/>
          <w:szCs w:val="24"/>
        </w:rPr>
        <w:t>Diabetes mellitus is one of the top causes of death in the world</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{"citationItems":[{"id":"ITEM-1","itemData":{"DOI":"10.1093/bmb/ldp028","ISSN":"00071420","PMID":"19776034","abstract":"Background: Assessing the causes of death across all regions of the world requires a framework for integrating, and analysing, the fragmentary information that is available on numbers of deaths and their cause distributions. This paper provides an overview of the met and methods used by the World Health Organization to develop global-, regional-and country-level estimates of mortality for a comprehensive set of causes, and provides an overview of global and regional levels and patterns of causes of death for the year 2004. The paper also examines some of the data gaps, uncertainties and limitations in the resulting mortality estimates. Sources of data: Deaths for 136 disease and injury causes were estimated from available death registration data (111 countries), sample death registration data (India and China), and for the remaining countries from census and survey information, and cause-of-death models. Population-based epidemiological studies and notifications systems also contributed to estimating mortality for 21 of these causes (representing 28 of deaths globally, 58 in Africa). Areas of agreement: Ischaemic heart disease and cerebrovascular disease are the leading causes of death, followed by lower respiratory infections, chronic obstructive pulmonary disease and diarrhoeal diseases. AIDS and TB are the sixth and seventh most common causes of death, respectively, lower than in previous estimates. One-half of all child deaths are from four preventable and treatable communicable diseases. Globally, around 6 in 10 deaths are from non-communicable diseases, 3 from communicable diseases and 1 from injuries. Injury mortality is highest in South-East Asia, Latin America and the Eastern Mediterranean region. These results illustrate continuing huge disparities in risks and causes of death across the world. Areas of controversy: Global mortality analyses of the type reported here have been criticized for making estimates of mortality for regions with limited, incomplete and uncertain data. Estimates presented here use a range of techniques depending on the type and quality of evidence. Better evidence on levels of adult mortality is needed for African countries. Growing points: Considerable gaps and deficiencies remain in the information available on causes of death. Nine of 10 deaths in 2004 occurred in low-and middle-income countries, reinforcing the fundamental importance of improving mortality statistics as a measure of health status in the developing …","author":[{"dropping-particle":"","family":"Mathers","given":"Colin D.","non-dropping-particle":"","parse-names":false,"suffix":""},{"dropping-particle":"","family":"Boerma","given":"Ties","non-dropping-particle":"","parse-names":false,"suffix":""},{"dropping-particle":"","family":"Ma Fat","given":"Doris","non-dropping-particle":"","parse-names":false,"suffix":""}],"container-title":"British Medical Bulletin","id":"ITEM-1","issue":"1","issued":{"date-parts":[["2009"]]},"page":"7-32","title":"Global and regional causes of death","type":"article-journal","volume":"92"},"uris":["http://www.mendeley.com/documents/?uuid=6aa29a5a-7fa9-4ca7-993e-8de839190b0f"]}],"mendeley":{"formattedCitation":"(Mathers et al., 2009)","plainTextFormattedCitation":"(Mathers et al., 2009)","previouslyFormattedCitation":"(Mathers et al., 2009)"},"properties":{"noteIndex":0},"schema":"https://github.com/citation-style-language/schema/raw/master/csl-citation.json"}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(Mathers et al., 2009)</w:t>
      </w:r>
      <w:r w:rsidR="009B26E3">
        <w:rPr>
          <w:rFonts w:ascii="Times New Roman" w:hAnsi="Times New Roman" w:cs="Times New Roman"/>
          <w:color w:val="000000" w:themeColor="text1"/>
          <w:sz w:val="24"/>
          <w:szCs w:val="24"/>
        </w:rPr>
        <w:fldChar w:fldCharType="end"/>
      </w:r>
      <w:r w:rsidRPr="004C5DE8">
        <w:rPr>
          <w:rFonts w:ascii="Times New Roman" w:hAnsi="Times New Roman" w:cs="Times New Roman"/>
          <w:color w:val="000000" w:themeColor="text1"/>
          <w:sz w:val="24"/>
          <w:szCs w:val="24"/>
        </w:rPr>
        <w:t>. The largest increases in prevalence occurred in</w:t>
      </w:r>
      <w:r w:rsidR="00795156" w:rsidRPr="004C5DE8">
        <w:rPr>
          <w:rFonts w:ascii="Times New Roman" w:hAnsi="Times New Roman" w:cs="Times New Roman"/>
          <w:color w:val="000000" w:themeColor="text1"/>
          <w:sz w:val="24"/>
          <w:szCs w:val="24"/>
        </w:rPr>
        <w:t xml:space="preserve"> South Asian and African</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{"citationItems":[{"id":"ITEM-1","itemData":{"DOI":"10.1186/1471-2458-8-271","ISSN":"14712458","PMID":"18673544","abstract":"Background. While the prevalence of type 2 diabetes mellitus (DM) is high, tailored risk scores for screening among South Asian and African origin populations are lacking. The aim of this study was, first, to compare the prevalence of (known and newly detected) DM among Hindustani Surinamese, African Surinamese and ethnic Dutch (Dutch). Second, to develop a new risk score for DM. Third, to evaluate the performance of the risk score and to compare it to criteria derived from current guidelines. Methods. We conducted a cross-sectional population based study among 336 Hindustani Surinamese, 593 African Surinamese and 486 Dutch, aged 35-60 years, in Amsterdam. Logistic regressing analyses were used to derive a risk score based on non-invasively determined characteristics. The diagnostic accuracy was assessed by the area under the Receiver-Operator Characteristic curve (AUC). Results. Hindustani Surinamese had the highest prevalence of DM, followed by African Surinamese and Dutch: 16.7, 8.1, 4.2% (age 35-44) and 35.0, 19.0, 8.2% (age 45-60), respectively. The risk score included ethnicity, body mass index, waist circumference, resting heart rate, first-degree relative with DM, hypertension and history of cardiovascular disease. Selection based on age alone showed the lowest AUC: between 0.57-0.62. The AUC of our score (0.74-0.80) was higher than that of criteria from guidelines based solely on age and BMI and as high as criteria that required invasive specimen collection. Conclusion. In Hindustani Surinamese and African Surinamese populations, screening for DM should not be limited to those over 45 years, as is advocated in several guidelines. If selective screening is indicated, our ethnicity based risk score performs well as a screening test for DM among these groups, particularly compared to the criteria based on age and/or body mass index derived from current guidelines. © 2008 Bindraban et al; licensee BioMed Central Ltd.","author":[{"dropping-particle":"","family":"Bindraban","given":"Navin R.","non-dropping-particle":"","parse-names":false,"suffix":""},{"dropping-particle":"","family":"Valkengoed","given":"Irene G.M.","non-dropping-particle":"Van","parse-names":false,"suffix":""},{"dropping-particle":"","family":"Mairuhu","given":"Gideon","non-dropping-particle":"","parse-names":false,"suffix":""},{"dropping-particle":"","family":"Holleman","given":"Frits","non-dropping-particle":"","parse-names":false,"suffix":""},{"dropping-particle":"","family":"Hoekstra","given":"Joost B.L.","non-dropping-particle":"","parse-names":false,"suffix":""},{"dropping-particle":"","family":"Michels","given":"Bob P.J.","non-dropping-particle":"","parse-names":false,"suffix":""},{"dropping-particle":"","family":"Koopmans","given":"Richard P.","non-dropping-particle":"","parse-names":false,"suffix":""},{"dropping-particle":"","family":"Stronks","given":"Karien","non-dropping-particle":"","parse-names":false,"suffix":""}],"container-title":"BMC Public Health","id":"ITEM-1","issue":"1","issued":{"date-parts":[["2008"]]},"page":"1-10","title":"Prevalence of diabetes mellitus and the performance of a risk score among Hindustani Surinamese, African Surinamese and ethnic Dutch: A cross-sectional population-based study","type":"article-journal","volume":"8"},"uris":["http://www.mendeley.com/documents/?uuid=b7c57a04-054f-4cb4-901c-0f8169acebcb"]}],"mendeley":{"formattedCitation":"(Bindraban et al., 2008)","plainTextFormattedCitation":"(Bindraban et al., 2008)","previouslyFormattedCitation":"(Bindraban et al., 2008)"},"properties":{"noteIndex":0},"schema":"https://github.com/citation-style-language/schema/raw/master/csl-citation.json"}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(Bindraban et al., 2008)</w:t>
      </w:r>
      <w:r w:rsidR="009B26E3">
        <w:rPr>
          <w:rFonts w:ascii="Times New Roman" w:hAnsi="Times New Roman" w:cs="Times New Roman"/>
          <w:color w:val="000000" w:themeColor="text1"/>
          <w:sz w:val="24"/>
          <w:szCs w:val="24"/>
        </w:rPr>
        <w:fldChar w:fldCharType="end"/>
      </w:r>
      <w:r w:rsidRPr="004C5DE8">
        <w:rPr>
          <w:rFonts w:ascii="Times New Roman" w:hAnsi="Times New Roman" w:cs="Times New Roman"/>
          <w:color w:val="000000" w:themeColor="text1"/>
          <w:sz w:val="24"/>
          <w:szCs w:val="24"/>
        </w:rPr>
        <w:t xml:space="preserve"> of </w:t>
      </w:r>
      <w:r w:rsidR="00E270FA" w:rsidRPr="004C5DE8">
        <w:rPr>
          <w:rFonts w:ascii="Times New Roman" w:hAnsi="Times New Roman" w:cs="Times New Roman"/>
          <w:color w:val="000000" w:themeColor="text1"/>
          <w:sz w:val="24"/>
          <w:szCs w:val="24"/>
        </w:rPr>
        <w:t xml:space="preserve">risk factors include </w:t>
      </w:r>
      <w:r w:rsidRPr="004C5DE8">
        <w:rPr>
          <w:rFonts w:ascii="Times New Roman" w:hAnsi="Times New Roman" w:cs="Times New Roman"/>
          <w:color w:val="000000" w:themeColor="text1"/>
          <w:sz w:val="24"/>
          <w:szCs w:val="24"/>
        </w:rPr>
        <w:t>urbanization</w:t>
      </w:r>
      <w:r w:rsidR="00E270FA" w:rsidRPr="004C5DE8">
        <w:rPr>
          <w:rFonts w:ascii="Times New Roman" w:hAnsi="Times New Roman" w:cs="Times New Roman"/>
          <w:color w:val="000000" w:themeColor="text1"/>
          <w:sz w:val="24"/>
          <w:szCs w:val="24"/>
        </w:rPr>
        <w:t>,</w:t>
      </w:r>
      <w:r w:rsidRPr="004C5DE8">
        <w:rPr>
          <w:rFonts w:ascii="Times New Roman" w:hAnsi="Times New Roman" w:cs="Times New Roman"/>
          <w:color w:val="000000" w:themeColor="text1"/>
          <w:sz w:val="24"/>
          <w:szCs w:val="24"/>
        </w:rPr>
        <w:t xml:space="preserve"> </w:t>
      </w:r>
      <w:r w:rsidR="00E270FA" w:rsidRPr="004C5DE8">
        <w:rPr>
          <w:rFonts w:ascii="Times New Roman" w:hAnsi="Times New Roman" w:cs="Times New Roman"/>
          <w:color w:val="000000" w:themeColor="text1"/>
          <w:sz w:val="24"/>
          <w:szCs w:val="24"/>
        </w:rPr>
        <w:t xml:space="preserve">age </w:t>
      </w:r>
      <w:r w:rsidRPr="004C5DE8">
        <w:rPr>
          <w:rFonts w:ascii="Times New Roman" w:hAnsi="Times New Roman" w:cs="Times New Roman"/>
          <w:color w:val="000000" w:themeColor="text1"/>
          <w:sz w:val="24"/>
          <w:szCs w:val="24"/>
        </w:rPr>
        <w:t>and unhealthy</w:t>
      </w:r>
      <w:r w:rsidR="00E270FA" w:rsidRPr="004C5DE8">
        <w:rPr>
          <w:rFonts w:ascii="Times New Roman" w:hAnsi="Times New Roman" w:cs="Times New Roman"/>
          <w:color w:val="000000" w:themeColor="text1"/>
          <w:sz w:val="24"/>
          <w:szCs w:val="24"/>
        </w:rPr>
        <w:t xml:space="preserve"> lifestyle</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{"citationItems":[{"id":"ITEM-1","itemData":{"DOI":"10.1002/dmrr.284","ISSN":"15207552","PMID":"12324980","abstract":"Diabetes is an important cause of morbidity and mortality in Africa. Although a dramatic increase in disease burden is projected, it remains to be seen what effect the ongoing devastation of HIV disease will have on the epidemiology of such chronic diseases as diabetes. Recent data on type 2 diabetes prevalence indicate low rates in some rural populations, moderate rates similar to those in developed areas in some countries, and alarmingly high rates in others. The frequent observation of moderate to high prevalence of impaired glucose tolerance, particularly in populations with a low prevalence of diabetes, may indicate the early stage of a diabetes epidemic. Risk factors include urbanization, age, and family history of disease, as well as such modifiable risk factors as adiposity and physical inactivity. For type 1 diabetes, limited data indicate that the prevalence is low in sub-Saharan Africa and that onset occurs later in life there than in other parts of the world. Mortality associated with diabetes is unacceptably high and is disproportionately due to preventable acute metabolic and infective causes. With long duration of disease, there is a high frequency of hypertension and microvascular complications. The apparent low frequency of chronic macrovascular complications needs fuller documentation - as does the apparent high frequency of hypertension even in the non-diabetic population. Efforts to prevent this disease and its complications in Africa are impeded by inadequate health care infrastructure, inadequate supply of medications, absence of educational programs, and lack of available health care facilities and providers. Copyright © 2002 John Wiley &amp; Sons, Ltd.","author":[{"dropping-particle":"","family":"Motala","given":"Ayesha A.","non-dropping-particle":"","parse-names":false,"suffix":""}],"container-title":"Diabetes/Metabolism Research and Reviews","id":"ITEM-1","issue":"3","issued":{"date-parts":[["2002"]]},"page":"14-20","title":"Diabetes trends in Africa","type":"article-journal","volume":"18"},"uris":["http://www.mendeley.com/documents/?uuid=e5aad171-d035-49b0-a6e0-fd4b690942a1"]}],"mendeley":{"formattedCitation":"(Motala, 2002)","plainTextFormattedCitation":"(Motala, 2002)","previouslyFormattedCitation":"(Motala, 2002)"},"properties":{"noteIndex":0},"schema":"https://github.com/citation-style-language/schema/raw/master/csl-citation.json"}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(Motala, 2002)</w:t>
      </w:r>
      <w:r w:rsidR="009B26E3">
        <w:rPr>
          <w:rFonts w:ascii="Times New Roman" w:hAnsi="Times New Roman" w:cs="Times New Roman"/>
          <w:color w:val="000000" w:themeColor="text1"/>
          <w:sz w:val="24"/>
          <w:szCs w:val="24"/>
        </w:rPr>
        <w:fldChar w:fldCharType="end"/>
      </w:r>
      <w:r w:rsidR="00DB0249" w:rsidRPr="004C5DE8">
        <w:rPr>
          <w:rFonts w:ascii="Times New Roman" w:hAnsi="Times New Roman" w:cs="Times New Roman"/>
          <w:color w:val="000000" w:themeColor="text1"/>
          <w:sz w:val="24"/>
          <w:szCs w:val="24"/>
        </w:rPr>
        <w:t>, and projected rise to 366 million in 2030</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10.2337/diacare.27.5.1047","author":[{"dropping-particle":"","family":"Wild","given":"S","non-dropping-particle":"","parse-names":false,"suffix":""},{"dropping-particle":"","family":"Roglic","given":"G","non-dropping-particle":"","parse-names":false,"suffix":""},{"dropping-particle":"","family":"Green","given":"A","non-dropping-particle":"","parse-names":false,"suffix":""},{"dropping-particle":"","family":"Sicree","given":"R","non-dropping-particle":"","parse-names":false,"suffix":""},{"dropping-particle":"","family":"King","given":"H","non-dropping-particle":"","parse-names":false,"suffix":""}],"container-title":"Diabetes Care","id":"ITEM-1","issue":"5","issued":{"date-parts":[["2004"]]},"page":"1047-1053","title":"Global Prevalence of Diabetes: Estimates for the year 2000 and projections for 2030","type":"article-journal","volume":"27"},"uris":["http://www.mendeley.com/documents/?uuid=5cb7d9f4-88d8-4299-bec5-09afe6da9175"]}],"mendeley":{"formattedCitation":"(Wild et al., 2004)","plainTextFormattedCitation":"(Wild et al., 2004)","previouslyFormattedCitation":"(Wild et al., 2004)"},"properties":{"noteIndex":0},"schema":"https://github.com/citation-style-language/schema/raw/master/csl-citation.json"}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(Wild et al., 2004)</w:t>
      </w:r>
      <w:r w:rsidR="009B26E3">
        <w:rPr>
          <w:rFonts w:ascii="Times New Roman" w:hAnsi="Times New Roman" w:cs="Times New Roman"/>
          <w:color w:val="000000" w:themeColor="text1"/>
          <w:sz w:val="24"/>
          <w:szCs w:val="24"/>
        </w:rPr>
        <w:fldChar w:fldCharType="end"/>
      </w:r>
      <w:r w:rsidR="009B26E3">
        <w:rPr>
          <w:rFonts w:ascii="Times New Roman" w:hAnsi="Times New Roman" w:cs="Times New Roman"/>
          <w:color w:val="000000" w:themeColor="text1"/>
          <w:sz w:val="24"/>
          <w:szCs w:val="24"/>
        </w:rPr>
        <w:t>.</w:t>
      </w:r>
      <w:r w:rsidR="00DB0249" w:rsidRPr="004C5DE8">
        <w:rPr>
          <w:rFonts w:ascii="Times New Roman" w:hAnsi="Times New Roman" w:cs="Times New Roman"/>
          <w:color w:val="000000" w:themeColor="text1"/>
          <w:sz w:val="24"/>
          <w:szCs w:val="24"/>
        </w:rPr>
        <w:t xml:space="preserve"> Indonesia is one of the top ten countries of diabetes prevalence in Asia</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{"citationItems":[{"id":"ITEM-1","itemData":{"DOI":"10.1016/S0140-6736(09)60937-5","ISSN":"01406736","PMID":"19875164","abstract":"Prevalence of type 2 diabetes has rapidly increased in native and migrant Asian populations. Diabetes develops at a younger age in Asian populations than in white populations, hence the morbidity and mortality associated with the disease and its complications are also common in young Asian people. The young age of these populations and the high rates of cardiovascular risk factors seen in Asian people substantially increase lifetime risk of cardiovascular disease. Several distinctive features are apparent in pathogenetic factors for diabetes and their thresholds in Asian populations. The economic burden due to diabetes at personal, societal, and national levels is huge. National strategies to raise public awareness about the disease and to improve standard of care and implementation of programmes for primary prevention are urgently needed. © 2010 Elsevier Ltd. All rights reserved.","author":[{"dropping-particle":"","family":"Ramachandran","given":"Ambady","non-dropping-particle":"","parse-names":false,"suffix":""},{"dropping-particle":"","family":"Wan Ma","given":"Ronald Ching","non-dropping-particle":"","parse-names":false,"suffix":""},{"dropping-particle":"","family":"Snehalatha","given":"Chamukuttan","non-dropping-particle":"","parse-names":false,"suffix":""}],"container-title":"The Lancet","id":"ITEM-1","issue":"9712","issued":{"date-parts":[["2010"]]},"page":"408-418","publisher":"Elsevier Ltd","title":"Diabetes in Asia","type":"article-journal","volume":"375"},"uris":["http://www.mendeley.com/documents/?uuid=e6506aa4-6770-44e8-a1a7-940ee90e056a"]}],"mendeley":{"formattedCitation":"(Ramachandran et al., 2010)","plainTextFormattedCitation":"(Ramachandran et al., 2010)","previouslyFormattedCitation":"(Ramachandran et al., 2010)"},"properties":{"noteIndex":0},"schema":"https://github.com/citation-style-language/schema/raw/master/csl-citation.json"}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(Ramachandran et al., 2010)</w:t>
      </w:r>
      <w:r w:rsidR="009B26E3">
        <w:rPr>
          <w:rFonts w:ascii="Times New Roman" w:hAnsi="Times New Roman" w:cs="Times New Roman"/>
          <w:color w:val="000000" w:themeColor="text1"/>
          <w:sz w:val="24"/>
          <w:szCs w:val="24"/>
        </w:rPr>
        <w:fldChar w:fldCharType="end"/>
      </w:r>
      <w:r w:rsidR="00DB0249" w:rsidRPr="004C5DE8">
        <w:rPr>
          <w:rFonts w:ascii="Times New Roman" w:hAnsi="Times New Roman" w:cs="Times New Roman"/>
          <w:color w:val="000000" w:themeColor="text1"/>
          <w:sz w:val="24"/>
          <w:szCs w:val="24"/>
        </w:rPr>
        <w:t xml:space="preserve">. </w:t>
      </w:r>
      <w:r w:rsidR="00664E69" w:rsidRPr="004C5DE8">
        <w:rPr>
          <w:rFonts w:ascii="Times New Roman" w:hAnsi="Times New Roman" w:cs="Times New Roman"/>
          <w:color w:val="000000" w:themeColor="text1"/>
          <w:sz w:val="24"/>
          <w:szCs w:val="24"/>
        </w:rPr>
        <w:t>The prevalence of diabetes predicated a potentially increase in Indonesia</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{"citationItems":[{"id":"ITEM-1","itemData":{"DOI":"10.1016/S0168-8227(00)00173-X","ISSN":"01688227","PMID":"11024578","abstract":"Predications indicate a potentially explosive increase in the prevalence of diabetes worldwide, especially in developing countries such as Indonesia. Studies of people living in rural areas of East Java and Bali show a prevalence rate of 1.5% in 1982 to 5.7% in 1995 among the urban population. Ujung Pandnag also experienced an increase, and recent studies in Manado found a dramatically high rate of 6.1% in urban areas. Preliminary results indicate varying prevalence between those living in urban and rural areas. Currently, Indonesia has an estimated 1.2-2.3% prevalence among people over 15 years. Geographically variation appears to be an influential factor, due to differences in ethnics, race, culture and lifestyle. Studies of diabetic families show a significantly high prevalence and, clinically speaking, the mode of treatment indicates the type of diabetes. Those who respond well to OHA among young diabetics (&lt;40) are assumed to have the MODY variation of the disease. The level of obesity among the general population has increased, due partly to increased calorie intake and is a significant factor in the increased rate of diabetes. It is also more common among the elderly, as our results will show. The new types of the disease are clinically more difficult to assess than the classical types 1 and 2, as they require relatively costly genetic and immunological studies. The rate of LADA type diabetes was found to be relatively high (&gt;20% for ICA and IAA and 2.3% for GAOA). A concensus on diabetes management has now been formulated in Indonesia and these guidelines are now used by all Indonesian health care professionals. © 2000 Elsevier Science Ireland Ltd.","author":[{"dropping-particle":"","family":"Sutanegara","given":"Dwi","non-dropping-particle":"","parse-names":false,"suffix":""},{"dropping-particle":"","family":"Darmono","given":"","non-dropping-particle":"","parse-names":false,"suffix":""},{"dropping-particle":"","family":"Budhiarta","given":"AAG","non-dropping-particle":"","parse-names":false,"suffix":""}],"container-title":"Diabetes Research and Clinical Practice","id":"ITEM-1","issue":"2000","issued":{"date-parts":[["2000"]]},"page":"9-16","title":"The epidemiology and management of diabetes mellitus in Indonesia","type":"article-journal","volume":"50"},"uris":["http://www.mendeley.com/documents/?uuid=f6ef581f-ec4d-47a5-a8af-106c352403b5"]}],"mendeley":{"formattedCitation":"(Sutanegara et al., 2000)","plainTextFormattedCitation":"(Sutanegara et al., 2000)","previouslyFormattedCitation":"(Sutanegara et al., 2000)"},"properties":{"noteIndex":0},"schema":"https://github.com/citation-style-language/schema/raw/master/csl-citation.json"}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(Sutanegara et al., 2000)</w:t>
      </w:r>
      <w:r w:rsidR="009B26E3">
        <w:rPr>
          <w:rFonts w:ascii="Times New Roman" w:hAnsi="Times New Roman" w:cs="Times New Roman"/>
          <w:color w:val="000000" w:themeColor="text1"/>
          <w:sz w:val="24"/>
          <w:szCs w:val="24"/>
        </w:rPr>
        <w:fldChar w:fldCharType="end"/>
      </w:r>
      <w:r w:rsidR="009B26E3">
        <w:rPr>
          <w:rFonts w:ascii="Times New Roman" w:hAnsi="Times New Roman" w:cs="Times New Roman"/>
          <w:color w:val="000000" w:themeColor="text1"/>
          <w:sz w:val="24"/>
          <w:szCs w:val="24"/>
        </w:rPr>
        <w:t xml:space="preserve">. </w:t>
      </w:r>
      <w:r w:rsidR="00664E69" w:rsidRPr="004C5DE8">
        <w:rPr>
          <w:rFonts w:ascii="Times New Roman" w:hAnsi="Times New Roman" w:cs="Times New Roman"/>
          <w:color w:val="000000" w:themeColor="text1"/>
          <w:sz w:val="24"/>
          <w:szCs w:val="24"/>
        </w:rPr>
        <w:t xml:space="preserve">In </w:t>
      </w:r>
      <w:r w:rsidR="00DB0249" w:rsidRPr="004C5DE8">
        <w:rPr>
          <w:rFonts w:ascii="Times New Roman" w:hAnsi="Times New Roman" w:cs="Times New Roman"/>
          <w:color w:val="000000" w:themeColor="text1"/>
          <w:sz w:val="24"/>
          <w:szCs w:val="24"/>
        </w:rPr>
        <w:t>Indonesia was 1.1% of the total population aged 15 years and over, increasing to 2.1% in 2013</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{"citationItems":[{"id":"ITEM-1","itemData":{"DOI":"10.1016/j.ijnss.2017.06.010","ISSN":"23520132","abstract":"Objective This study aimed to identify factors predicting diabetes self-management among adults with type 2 diabetes mellitus in Malang City, East Java, Indonesia. Methods A cross-sectional design was used in this study. Participants were selected from five primary health centers in Malang City, East Java, Indonesia using the multistage sampling method. A total of 127 adults with type 2 diabetes mellitus were recruited. Data were collected by questionnaires which were the general diabetes knowledge, the Beliefs of Treatment Effectiveness, the Diabetes Distress Scale, the Self-efficacy for Diabetes Scale, the brief Chronic Illness Resources Survey, the Situational Questionnaire and the Summary of Diabetes Self-care Activities. A self-administered questionnaire was used to collect the data. Multiple linear regression with stepwise method was used toanalyze the data. Results The scores of seven questionnaires (i.e, diabetes knowledge, perceived benefit of diabetes self-management, diabetes distress, perceived self-efficacy, social support, situational influence, and diabetes self-management) were 13.75 ± 3.59, 34.9 ± 4.89, 3.03 ± 0.86, 3.60 ± 0.53, 27.79 ± 5.56, 3.27 ± 0.58,3.81 ± 1.08, respectively. The significant predictors of diabetes self-management were treatment, perceived self-efficacy, and situational influences. These variables explained 20.8% (adjusted R2 = 0.208) of the variance in diabetes self-management among adults with type 2 diabetes mellitus in Malang City. Conclusion Diabetes self-management among adults with type 2 diabetes mellitus could be improved by enhancing their perceived self-efficacy to achieve their self-management behavior, such as having a healthy diet, exercising regularly, actively monitoring blood glucose level, taking medication and foot care, and providing support to promote good situational influence.","author":[{"dropping-particle":"","family":"Kurnia","given":"Anggraini Dwi","non-dropping-particle":"","parse-names":false,"suffix":""},{"dropping-particle":"","family":"Amatayakul","given":"Anchaleeporn","non-dropping-particle":"","parse-names":false,"suffix":""},{"dropping-particle":"","family":"Karuncharernpanit","given":"Sirikul","non-dropping-particle":"","parse-names":false,"suffix":""}],"container-title":"International Journal of Nursing Sciences","id":"ITEM-1","issue":"3","issued":{"date-parts":[["2017"]]},"page":"260-265","publisher":"Elsevier Taiwan LLC","title":"Predictors of diabetes self-management among type 2 diabetics in Indonesia: Application theory of the health promotion model","type":"article-journal","volume":"4"},"uris":["http://www.mendeley.com/documents/?uuid=55f91b1b-6cd1-44cd-86b7-1aaaff6f47e5"]}],"mendeley":{"formattedCitation":"(Kurnia et al., 2017)","plainTextFormattedCitation":"(Kurnia et al., 2017)","previouslyFormattedCitation":"(Kurnia et al., 2017)"},"properties":{"noteIndex":0},"schema":"https://github.com/citation-style-language/schema/raw/master/csl-citation.json"}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(Kurnia et al., 2017)</w:t>
      </w:r>
      <w:r w:rsidR="009B26E3">
        <w:rPr>
          <w:rFonts w:ascii="Times New Roman" w:hAnsi="Times New Roman" w:cs="Times New Roman"/>
          <w:color w:val="000000" w:themeColor="text1"/>
          <w:sz w:val="24"/>
          <w:szCs w:val="24"/>
        </w:rPr>
        <w:fldChar w:fldCharType="end"/>
      </w:r>
      <w:r w:rsidR="009B26E3">
        <w:rPr>
          <w:rFonts w:ascii="Times New Roman" w:hAnsi="Times New Roman" w:cs="Times New Roman"/>
          <w:color w:val="000000" w:themeColor="text1"/>
          <w:sz w:val="24"/>
          <w:szCs w:val="24"/>
        </w:rPr>
        <w:t>.</w:t>
      </w:r>
      <w:r w:rsidR="00664E69" w:rsidRPr="004C5DE8">
        <w:rPr>
          <w:rFonts w:ascii="Times New Roman" w:hAnsi="Times New Roman" w:cs="Times New Roman"/>
          <w:color w:val="000000" w:themeColor="text1"/>
          <w:sz w:val="24"/>
          <w:szCs w:val="24"/>
        </w:rPr>
        <w:t xml:space="preserve"> </w:t>
      </w:r>
    </w:p>
    <w:p w:rsidR="00354DDE" w:rsidRPr="004C5DE8" w:rsidRDefault="00354DDE" w:rsidP="00D00B22">
      <w:pPr>
        <w:spacing w:after="0"/>
        <w:ind w:firstLine="720"/>
        <w:jc w:val="both"/>
        <w:rPr>
          <w:rFonts w:ascii="Times New Roman" w:hAnsi="Times New Roman" w:cs="Times New Roman"/>
          <w:color w:val="000000" w:themeColor="text1"/>
          <w:sz w:val="24"/>
          <w:szCs w:val="24"/>
        </w:rPr>
      </w:pPr>
      <w:r w:rsidRPr="004C5DE8">
        <w:rPr>
          <w:rFonts w:ascii="Times New Roman" w:hAnsi="Times New Roman" w:cs="Times New Roman"/>
          <w:color w:val="000000" w:themeColor="text1"/>
          <w:sz w:val="24"/>
          <w:szCs w:val="24"/>
        </w:rPr>
        <w:t>The highest prevalence of diabetes mellitus in Indonesia is found in Central Sulawesi (3.7%), cases of patients at Anutapura Palu Hospital were reported in 2017 as many as 4177 sufferers</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author":[{"dropping-particle":"","family":"Hardayanti","given":"KR","non-dropping-particle":"","parse-names":false,"suffix":""},{"dropping-particle":"","family":"Rau","given":"MJ","non-dropping-particle":"","parse-names":false,"suffix":""},{"dropping-particle":"","family":"Arifuddin","given":"A","non-dropping-particle":"","parse-names":false,"suffix":""}],"container-title":"Jurnal Kesehatan Tadulako","id":"ITEM-1","issue":"3","issued":{"date-parts":[["2018"]]},"page":"61-66","title":"Pengaruh perilaku pengendalian diabetes melitus terhadap kadar gula darah pasien di Rumah Sakit Umum Anutapura Kota Palu","type":"article-journal","volume":"4"},"uris":["http://www.mendeley.com/documents/?uuid=e597822c-2a6a-4a53-adcc-2446a77cb494"]}],"mendeley":{"formattedCitation":"(Hardayanti et al., 2018)","plainTextFormattedCitation":"(Hardayanti et al., 2018)","previouslyFormattedCitation":"(Hardayanti et al., 2018)"},"properties":{"noteIndex":0},"schema":"https://github.com/citation-style-language/schema/raw/master/csl-citation.json"}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(Hardayanti et al., 2018)</w:t>
      </w:r>
      <w:r w:rsidR="009B26E3">
        <w:rPr>
          <w:rFonts w:ascii="Times New Roman" w:hAnsi="Times New Roman" w:cs="Times New Roman"/>
          <w:color w:val="000000" w:themeColor="text1"/>
          <w:sz w:val="24"/>
          <w:szCs w:val="24"/>
        </w:rPr>
        <w:fldChar w:fldCharType="end"/>
      </w:r>
      <w:r w:rsidRPr="004C5DE8">
        <w:rPr>
          <w:rFonts w:ascii="Times New Roman" w:hAnsi="Times New Roman" w:cs="Times New Roman"/>
          <w:color w:val="000000" w:themeColor="text1"/>
          <w:sz w:val="24"/>
          <w:szCs w:val="24"/>
        </w:rPr>
        <w:t xml:space="preserve">. </w:t>
      </w:r>
      <w:r w:rsidR="00824007" w:rsidRPr="00824007">
        <w:rPr>
          <w:rFonts w:ascii="Times New Roman" w:hAnsi="Times New Roman" w:cs="Times New Roman"/>
          <w:color w:val="000000" w:themeColor="text1"/>
          <w:sz w:val="24"/>
          <w:szCs w:val="24"/>
        </w:rPr>
        <w:t xml:space="preserve">Based on the report Health Office </w:t>
      </w:r>
      <w:r w:rsidR="00824007">
        <w:rPr>
          <w:rFonts w:ascii="Times New Roman" w:hAnsi="Times New Roman" w:cs="Times New Roman"/>
          <w:color w:val="000000" w:themeColor="text1"/>
          <w:sz w:val="24"/>
          <w:szCs w:val="24"/>
        </w:rPr>
        <w:t xml:space="preserve">of </w:t>
      </w:r>
      <w:r w:rsidR="00824007" w:rsidRPr="00824007">
        <w:rPr>
          <w:rFonts w:ascii="Times New Roman" w:hAnsi="Times New Roman" w:cs="Times New Roman"/>
          <w:color w:val="000000" w:themeColor="text1"/>
          <w:sz w:val="24"/>
          <w:szCs w:val="24"/>
        </w:rPr>
        <w:t xml:space="preserve">Central Sulawesi in </w:t>
      </w:r>
      <w:r w:rsidR="00824007" w:rsidRPr="00824007">
        <w:rPr>
          <w:rFonts w:ascii="Times New Roman" w:hAnsi="Times New Roman" w:cs="Times New Roman"/>
          <w:color w:val="000000" w:themeColor="text1"/>
          <w:sz w:val="24"/>
          <w:szCs w:val="24"/>
        </w:rPr>
        <w:lastRenderedPageBreak/>
        <w:t>2018, the number of DM patients reached 6,547 cases</w:t>
      </w:r>
      <w:r w:rsidR="00824007">
        <w:rPr>
          <w:rFonts w:ascii="Times New Roman" w:hAnsi="Times New Roman" w:cs="Times New Roman"/>
          <w:color w:val="000000" w:themeColor="text1"/>
          <w:sz w:val="24"/>
          <w:szCs w:val="24"/>
        </w:rPr>
        <w:t xml:space="preserve">. </w:t>
      </w:r>
      <w:r w:rsidR="00D00B22" w:rsidRPr="004C5DE8">
        <w:rPr>
          <w:rFonts w:ascii="Times New Roman" w:hAnsi="Times New Roman" w:cs="Times New Roman"/>
          <w:color w:val="000000" w:themeColor="text1"/>
          <w:sz w:val="24"/>
          <w:szCs w:val="24"/>
        </w:rPr>
        <w:t>In health clinic of Kampung Baru Luwuk Banggai District was recorded that increased of diabetes mellitus case namely 50 clients in 2014 and 85 clients in 2015</w:t>
      </w:r>
      <w:r w:rsidR="009B26E3">
        <w:rPr>
          <w:rFonts w:ascii="Times New Roman" w:hAnsi="Times New Roman" w:cs="Times New Roman"/>
          <w:color w:val="000000" w:themeColor="text1"/>
          <w:sz w:val="24"/>
          <w:szCs w:val="24"/>
        </w:rPr>
        <w:t xml:space="preserve"> </w:t>
      </w:r>
      <w:r w:rsidR="009B26E3">
        <w:rPr>
          <w:rFonts w:ascii="Times New Roman" w:hAnsi="Times New Roman" w:cs="Times New Roman"/>
          <w:color w:val="000000" w:themeColor="text1"/>
          <w:sz w:val="24"/>
          <w:szCs w:val="24"/>
        </w:rPr>
        <w:fldChar w:fldCharType="begin" w:fldLock="1"/>
      </w:r>
      <w:r w:rsidR="009B26E3">
        <w:rPr>
          <w:rFonts w:ascii="Times New Roman" w:hAnsi="Times New Roman" w:cs="Times New Roman"/>
          <w:color w:val="000000" w:themeColor="text1"/>
          <w:sz w:val="24"/>
          <w:szCs w:val="24"/>
        </w:rPr>
        <w:instrText>ADDIN CSL_CITATION {"citationItems":[{"id":"ITEM-1","itemData":{"ISBN":"9786021768891","author":[{"dropping-particle":"","family":"Yulianti","given":"Sri","non-dropping-particle":"","parse-names":false,"suffix":""},{"dropping-particle":"","family":"Rayasari","given":"Fitrian","non-dropping-particle":"","parse-names":false,"suffix":""}],"container-title":"The 2nd International Multidisciplinary Conference","id":"ITEM-1","issued":{"date-parts":[["2016"]]},"page":"735-743","title":"The Impact of Telenursing Assistance on the Glycemic Levels of Type II DM Clients at Local Healt Clinic Kampung Baru In Banggai 2016","type":"paper-conference"},"uris":["http://www.mendeley.com/documents/?uuid=442365ca-ce8a-45ed-bc6d-a2c39afe36be"]}],"mendeley":{"formattedCitation":"(Yulianti &amp; Rayasari, 2016)","plainTextFormattedCitation":"(Yulianti &amp; Rayasari, 2016)","previouslyFormattedCitation":"(Yulianti &amp; Rayasari, 2016)"},"properties":{"noteIndex":0},"schema":"https://github.com/citation-style-language/schema/raw/master/csl-citation.json"}</w:instrText>
      </w:r>
      <w:r w:rsidR="009B26E3">
        <w:rPr>
          <w:rFonts w:ascii="Times New Roman" w:hAnsi="Times New Roman" w:cs="Times New Roman"/>
          <w:color w:val="000000" w:themeColor="text1"/>
          <w:sz w:val="24"/>
          <w:szCs w:val="24"/>
        </w:rPr>
        <w:fldChar w:fldCharType="separate"/>
      </w:r>
      <w:r w:rsidR="009B26E3" w:rsidRPr="009B26E3">
        <w:rPr>
          <w:rFonts w:ascii="Times New Roman" w:hAnsi="Times New Roman" w:cs="Times New Roman"/>
          <w:noProof/>
          <w:color w:val="000000" w:themeColor="text1"/>
          <w:sz w:val="24"/>
          <w:szCs w:val="24"/>
        </w:rPr>
        <w:t>(Yulianti &amp; Rayasari, 2016)</w:t>
      </w:r>
      <w:r w:rsidR="009B26E3">
        <w:rPr>
          <w:rFonts w:ascii="Times New Roman" w:hAnsi="Times New Roman" w:cs="Times New Roman"/>
          <w:color w:val="000000" w:themeColor="text1"/>
          <w:sz w:val="24"/>
          <w:szCs w:val="24"/>
        </w:rPr>
        <w:fldChar w:fldCharType="end"/>
      </w:r>
      <w:r w:rsidR="009B26E3">
        <w:rPr>
          <w:rFonts w:ascii="Times New Roman" w:hAnsi="Times New Roman" w:cs="Times New Roman"/>
          <w:color w:val="000000" w:themeColor="text1"/>
          <w:sz w:val="24"/>
          <w:szCs w:val="24"/>
        </w:rPr>
        <w:t>.</w:t>
      </w:r>
      <w:r w:rsidR="00D00B22" w:rsidRPr="004C5DE8">
        <w:rPr>
          <w:rFonts w:ascii="Times New Roman" w:hAnsi="Times New Roman" w:cs="Times New Roman"/>
          <w:color w:val="000000" w:themeColor="text1"/>
          <w:sz w:val="24"/>
          <w:szCs w:val="24"/>
        </w:rPr>
        <w:t xml:space="preserve"> </w:t>
      </w:r>
    </w:p>
    <w:p w:rsidR="00000D40" w:rsidRDefault="006B215F" w:rsidP="004C0E3C">
      <w:pPr>
        <w:ind w:firstLine="720"/>
        <w:jc w:val="both"/>
        <w:rPr>
          <w:rFonts w:ascii="Times New Roman" w:hAnsi="Times New Roman" w:cs="Times New Roman"/>
          <w:sz w:val="24"/>
          <w:szCs w:val="24"/>
        </w:rPr>
      </w:pPr>
      <w:r w:rsidRPr="006B215F">
        <w:rPr>
          <w:rFonts w:ascii="Times New Roman" w:hAnsi="Times New Roman" w:cs="Times New Roman"/>
          <w:sz w:val="24"/>
          <w:szCs w:val="24"/>
        </w:rPr>
        <w:t>Generally, the treatment of diabetes mellitus is carried out using antidiabetic drugs</w:t>
      </w:r>
      <w:r w:rsidR="009B26E3">
        <w:rPr>
          <w:rFonts w:ascii="Times New Roman" w:hAnsi="Times New Roman" w:cs="Times New Roman"/>
          <w:sz w:val="24"/>
          <w:szCs w:val="24"/>
        </w:rPr>
        <w:t xml:space="preserve"> </w:t>
      </w:r>
      <w:r w:rsidR="009B26E3">
        <w:rPr>
          <w:rFonts w:ascii="Times New Roman" w:hAnsi="Times New Roman" w:cs="Times New Roman"/>
          <w:sz w:val="24"/>
          <w:szCs w:val="24"/>
        </w:rPr>
        <w:fldChar w:fldCharType="begin" w:fldLock="1"/>
      </w:r>
      <w:r w:rsidR="009B26E3">
        <w:rPr>
          <w:rFonts w:ascii="Times New Roman" w:hAnsi="Times New Roman" w:cs="Times New Roman"/>
          <w:sz w:val="24"/>
          <w:szCs w:val="24"/>
        </w:rPr>
        <w:instrText>ADDIN CSL_CITATION {"citationItems":[{"id":"ITEM-1","itemData":{"DOI":"10.2337/dc13-2289","ISSN":"19355548","PMID":"24623020","abstract":"OBJECTIVE: To describe market trends for antidiabetic drugs, focusing on newly approved drugs, concomitant use of antidiabetic drugs, and effects of safety concerns and access restrictions on thiazolidinedione use. RESEARCH DESIGN AND METHODS: Nationally projected data on antidiabetic prescriptions for adults dispensed from U.S. retail pharmacies were extracted from IMS Health Vector One National and Total Patient Tracker for 2003-2012 and from Encuity Research Treatment Answers and Symphony Health Solutions PHAST Prescription Monthly for 2012. RESULTS: Since 2003, the number of adult antidiabetic drug users increased by 42.9%to 18.8 million in 2012. Metformin use increased by 97.0% to 60.4 million prescriptions dispensed in retail pharmacies in 2012. Among antidiabetic drugs newly approved for marketing between 2003 and 2012, the dipeptidyl peptidase-4 (DPP-4) inhibitor sitagliptin had the largest share with 10.5 million prescriptions in 2012. Rosiglitazone use plummeted to &lt;13,000 prescriptions dispensed in retail or mail-order pharmacies in 2012. Concomitancy analyses showed that 44.9% of metformin use was for monotherapy. Between 33.4 and 48.1% of sulfonylurea, DPP-4 inhibitor, thiazolidinedione, and glucagon-like peptide 1 analog use was not accompanied by metformin. CONCLUSIONS: The antidiabetic drug market is characterized by steady increases in volume, and newly approved drugs experienced substantial uptake, especially DPP-4 inhibitors. The use of rosiglitazone has been negligible since restrictions were put in place in 2011. Further study is needed to understand why one-third to one-half of other noninsulin antidiabetic drug use was not concomitant with metformin use despite guidelines recommending that metformin be continued when other agents are added to treatment. © 2014 by the American Diabetes Association.","author":[{"dropping-particle":"","family":"Hampp","given":"Christian","non-dropping-particle":"","parse-names":false,"suffix":""},{"dropping-particle":"","family":"Borders-Hemphill","given":"Vicky","non-dropping-particle":"","parse-names":false,"suffix":""},{"dropping-particle":"","family":"Moeny","given":"David G.","non-dropping-particle":"","parse-names":false,"suffix":""},{"dropping-particle":"","family":"Wysowski","given":"Diane K.","non-dropping-particle":"","parse-names":false,"suffix":""}],"container-title":"Diabetes Care","id":"ITEM-1","issue":"5","issued":{"date-parts":[["2014"]]},"page":"1367-1374","title":"Use of antidiabetic drugs in the U.S., 2003-2012","type":"article-journal","volume":"37"},"uris":["http://www.mendeley.com/documents/?uuid=734c091a-cb9a-466a-ab14-4f2248eb2efc"]}],"mendeley":{"formattedCitation":"(Hampp et al., 2014)","plainTextFormattedCitation":"(Hampp et al., 2014)","previouslyFormattedCitation":"(Hampp et al., 2014)"},"properties":{"noteIndex":0},"schema":"https://github.com/citation-style-language/schema/raw/master/csl-citation.json"}</w:instrText>
      </w:r>
      <w:r w:rsidR="009B26E3">
        <w:rPr>
          <w:rFonts w:ascii="Times New Roman" w:hAnsi="Times New Roman" w:cs="Times New Roman"/>
          <w:sz w:val="24"/>
          <w:szCs w:val="24"/>
        </w:rPr>
        <w:fldChar w:fldCharType="separate"/>
      </w:r>
      <w:r w:rsidR="009B26E3" w:rsidRPr="009B26E3">
        <w:rPr>
          <w:rFonts w:ascii="Times New Roman" w:hAnsi="Times New Roman" w:cs="Times New Roman"/>
          <w:noProof/>
          <w:sz w:val="24"/>
          <w:szCs w:val="24"/>
        </w:rPr>
        <w:t>(Hampp et al., 2014)</w:t>
      </w:r>
      <w:r w:rsidR="009B26E3">
        <w:rPr>
          <w:rFonts w:ascii="Times New Roman" w:hAnsi="Times New Roman" w:cs="Times New Roman"/>
          <w:sz w:val="24"/>
          <w:szCs w:val="24"/>
        </w:rPr>
        <w:fldChar w:fldCharType="end"/>
      </w:r>
      <w:r w:rsidR="009B26E3">
        <w:rPr>
          <w:rFonts w:ascii="Times New Roman" w:hAnsi="Times New Roman" w:cs="Times New Roman"/>
          <w:sz w:val="24"/>
          <w:szCs w:val="24"/>
        </w:rPr>
        <w:t xml:space="preserve"> </w:t>
      </w:r>
      <w:r w:rsidRPr="006B215F">
        <w:rPr>
          <w:rFonts w:ascii="Times New Roman" w:hAnsi="Times New Roman" w:cs="Times New Roman"/>
          <w:sz w:val="24"/>
          <w:szCs w:val="24"/>
        </w:rPr>
        <w:t>or insulin injection</w:t>
      </w:r>
      <w:r w:rsidR="009B26E3">
        <w:rPr>
          <w:rFonts w:ascii="Times New Roman" w:hAnsi="Times New Roman" w:cs="Times New Roman"/>
          <w:sz w:val="24"/>
          <w:szCs w:val="24"/>
        </w:rPr>
        <w:t xml:space="preserve"> </w:t>
      </w:r>
      <w:r w:rsidR="009B26E3">
        <w:rPr>
          <w:rFonts w:ascii="Times New Roman" w:hAnsi="Times New Roman" w:cs="Times New Roman"/>
          <w:sz w:val="24"/>
          <w:szCs w:val="24"/>
        </w:rPr>
        <w:fldChar w:fldCharType="begin" w:fldLock="1"/>
      </w:r>
      <w:r w:rsidR="009B26E3">
        <w:rPr>
          <w:rFonts w:ascii="Times New Roman" w:hAnsi="Times New Roman" w:cs="Times New Roman"/>
          <w:sz w:val="24"/>
          <w:szCs w:val="24"/>
        </w:rPr>
        <w:instrText>ADDIN CSL_CITATION {"citationItems":[{"id":"ITEM-1","itemData":{"ISBN":"1532-0650","ISSN":"0002838X","PMID":"21766768","author":[{"dropping-particle":"","family":"Petznick","given":"Allison","non-dropping-particle":"","parse-names":false,"suffix":""}],"container-title":"American Family Physician","id":"ITEM-1","issue":"2","issued":{"date-parts":[["2011"]]},"page":"183-190","title":"Insulin Management of Type 2 Diabetes Mellitus","type":"article-journal","volume":"84"},"uris":["http://www.mendeley.com/documents/?uuid=9f4cc61d-b503-4c27-98e8-20fbfa96ba0f"]}],"mendeley":{"formattedCitation":"(Petznick, 2011)","manualFormatting":"(Petznick, 2011","plainTextFormattedCitation":"(Petznick, 2011)","previouslyFormattedCitation":"(Petznick, 2011)"},"properties":{"noteIndex":0},"schema":"https://github.com/citation-style-language/schema/raw/master/csl-citation.json"}</w:instrText>
      </w:r>
      <w:r w:rsidR="009B26E3">
        <w:rPr>
          <w:rFonts w:ascii="Times New Roman" w:hAnsi="Times New Roman" w:cs="Times New Roman"/>
          <w:sz w:val="24"/>
          <w:szCs w:val="24"/>
        </w:rPr>
        <w:fldChar w:fldCharType="separate"/>
      </w:r>
      <w:r w:rsidR="009B26E3" w:rsidRPr="009B26E3">
        <w:rPr>
          <w:rFonts w:ascii="Times New Roman" w:hAnsi="Times New Roman" w:cs="Times New Roman"/>
          <w:noProof/>
          <w:sz w:val="24"/>
          <w:szCs w:val="24"/>
        </w:rPr>
        <w:t>(Petznick, 2011</w:t>
      </w:r>
      <w:r w:rsidR="009B26E3">
        <w:rPr>
          <w:rFonts w:ascii="Times New Roman" w:hAnsi="Times New Roman" w:cs="Times New Roman"/>
          <w:sz w:val="24"/>
          <w:szCs w:val="24"/>
        </w:rPr>
        <w:fldChar w:fldCharType="end"/>
      </w:r>
      <w:r w:rsidR="009B26E3">
        <w:rPr>
          <w:rFonts w:ascii="Times New Roman" w:hAnsi="Times New Roman" w:cs="Times New Roman"/>
          <w:sz w:val="24"/>
          <w:szCs w:val="24"/>
        </w:rPr>
        <w:t xml:space="preserve">; </w:t>
      </w:r>
      <w:r w:rsidR="009B26E3">
        <w:rPr>
          <w:rFonts w:ascii="Times New Roman" w:hAnsi="Times New Roman" w:cs="Times New Roman"/>
          <w:sz w:val="24"/>
          <w:szCs w:val="24"/>
        </w:rPr>
        <w:fldChar w:fldCharType="begin" w:fldLock="1"/>
      </w:r>
      <w:r w:rsidR="009B26E3">
        <w:rPr>
          <w:rFonts w:ascii="Times New Roman" w:hAnsi="Times New Roman" w:cs="Times New Roman"/>
          <w:sz w:val="24"/>
          <w:szCs w:val="24"/>
        </w:rPr>
        <w:instrText>ADDIN CSL_CITATION {"citationItems":[{"id":"ITEM-1","itemData":{"DOI":"10.1016/j.jamda.2010.10.006","ISSN":"15389375","abstract":"Objective: Elderly patients with diabetes often have difficulty with self-administering insulin. It was the aim of the present study to find a short, easy performance test, such as the Timed Test of Money Counting (TTMC), that identifies elderly patients with diabetes, in grade to undertake proper insulin injection autonomously and correctly. Patients and Methods: A total of 73 insulin-dependent patients (age 77.3 ± 7.1 years, HbA1c 8.2% ± 2.0%) completed the TTMC as part of a comprehensive geriatric assessment before and 3 months after structured diabetes education. Results: The TTMC showed a sensitivity of 69.2% for autonomous injection of insulin 3 months after diabetes education, if patients performed the test within a time duration of less than 46 seconds. Specificity is 70% and positive predictive value 78.7% in this case. Study Implication: The TTMC seems to be a suitable predictor for ability to inject insulin autonomously after receiving diabetes education. The expenditure of time is only about 5 minutes and it helps to identify patients with diabetes who are able to inject insulin themselves after diabetes education. © 2012 American Medical Directors Association, Inc.","author":[{"dropping-particle":"","family":"Zeyfang","given":"Andrej","non-dropping-particle":"","parse-names":false,"suffix":""},{"dropping-particle":"","family":"Berndt","given":"Susanne","non-dropping-particle":"","parse-names":false,"suffix":""},{"dropping-particle":"","family":"Aurnhammer","given":"Gabriele","non-dropping-particle":"","parse-names":false,"suffix":""},{"dropping-particle":"","family":"Nikolaus","given":"Thorsten","non-dropping-particle":"","parse-names":false,"suffix":""},{"dropping-particle":"","family":"Oster","given":"Peter","non-dropping-particle":"","parse-names":false,"suffix":""},{"dropping-particle":"","family":"Bahrmann","given":"Anke","non-dropping-particle":"","parse-names":false,"suffix":""}],"container-title":"Journal of the American Medical Directors Association","id":"ITEM-1","issue":"1","issued":{"date-parts":[["2012"]]},"page":"15-18","publisher":"Elsevier","title":"A short easy test can detect ability for autonomous insulin injection by the elderly with diabetes mellitus","type":"article-journal","volume":"13"},"uris":["http://www.mendeley.com/documents/?uuid=f65f0b76-b29f-4abf-a578-a8497a10bd3c"]}],"mendeley":{"formattedCitation":"(Zeyfang et al., 2012)","manualFormatting":"Zeyfang et al., 2012)","plainTextFormattedCitation":"(Zeyfang et al., 2012)","previouslyFormattedCitation":"(Zeyfang et al., 2012)"},"properties":{"noteIndex":0},"schema":"https://github.com/citation-style-language/schema/raw/master/csl-citation.json"}</w:instrText>
      </w:r>
      <w:r w:rsidR="009B26E3">
        <w:rPr>
          <w:rFonts w:ascii="Times New Roman" w:hAnsi="Times New Roman" w:cs="Times New Roman"/>
          <w:sz w:val="24"/>
          <w:szCs w:val="24"/>
        </w:rPr>
        <w:fldChar w:fldCharType="separate"/>
      </w:r>
      <w:r w:rsidR="009B26E3" w:rsidRPr="009B26E3">
        <w:rPr>
          <w:rFonts w:ascii="Times New Roman" w:hAnsi="Times New Roman" w:cs="Times New Roman"/>
          <w:noProof/>
          <w:sz w:val="24"/>
          <w:szCs w:val="24"/>
        </w:rPr>
        <w:t>Zeyfang et al., 2012)</w:t>
      </w:r>
      <w:r w:rsidR="009B26E3">
        <w:rPr>
          <w:rFonts w:ascii="Times New Roman" w:hAnsi="Times New Roman" w:cs="Times New Roman"/>
          <w:sz w:val="24"/>
          <w:szCs w:val="24"/>
        </w:rPr>
        <w:fldChar w:fldCharType="end"/>
      </w:r>
      <w:r w:rsidRPr="006B215F">
        <w:rPr>
          <w:rFonts w:ascii="Times New Roman" w:hAnsi="Times New Roman" w:cs="Times New Roman"/>
          <w:sz w:val="24"/>
          <w:szCs w:val="24"/>
        </w:rPr>
        <w:t xml:space="preserve">. </w:t>
      </w:r>
      <w:r w:rsidR="00114429" w:rsidRPr="00114429">
        <w:rPr>
          <w:rFonts w:ascii="Times New Roman" w:hAnsi="Times New Roman" w:cs="Times New Roman"/>
          <w:sz w:val="24"/>
          <w:szCs w:val="24"/>
        </w:rPr>
        <w:t>Traditional therapy is also rated quite effective for the treatment of diabetes</w:t>
      </w:r>
      <w:r w:rsidRPr="006B215F">
        <w:rPr>
          <w:rFonts w:ascii="Times New Roman" w:hAnsi="Times New Roman" w:cs="Times New Roman"/>
          <w:sz w:val="24"/>
          <w:szCs w:val="24"/>
        </w:rPr>
        <w:t xml:space="preserve"> and have few side effects</w:t>
      </w:r>
      <w:r w:rsidR="00114429">
        <w:rPr>
          <w:rFonts w:ascii="Times New Roman" w:hAnsi="Times New Roman" w:cs="Times New Roman"/>
          <w:sz w:val="24"/>
          <w:szCs w:val="24"/>
        </w:rPr>
        <w:t xml:space="preserve"> </w:t>
      </w:r>
      <w:r w:rsidR="009B26E3">
        <w:rPr>
          <w:rFonts w:ascii="Times New Roman" w:hAnsi="Times New Roman" w:cs="Times New Roman"/>
          <w:sz w:val="24"/>
          <w:szCs w:val="24"/>
        </w:rPr>
        <w:fldChar w:fldCharType="begin" w:fldLock="1"/>
      </w:r>
      <w:r w:rsidR="009B26E3">
        <w:rPr>
          <w:rFonts w:ascii="Times New Roman" w:hAnsi="Times New Roman" w:cs="Times New Roman"/>
          <w:sz w:val="24"/>
          <w:szCs w:val="24"/>
        </w:rPr>
        <w:instrText>ADDIN CSL_CITATION {"citationItems":[{"id":"ITEM-1","itemData":{"DOI":"10.1155/2015/810439","ISSN":"16878345","abstract":"Diabetes mellitus (DM) is ametabolic disorder affecting a large number of people worldwide.Numerous studies have demonstrated that DM can cause damage to multiple systems, leading to complications such as heart disease, cancer, and cerebrovascular disorders. Numerous epidemiological studies have shown that DM is closely associated with dementia and cognition dysfunction, with recent research focusing on the role of DM-mediated cerebrovascular damage in dementia. Despite the therapeutic benefits of antidiabetic agents for the treatment of DM-mediated cognitive dysfunction, most of these pharmaceutical agents are associated with various undesirable side-effects and their long-termbenefits are therefore in doubt. Early evidence exists to support the use of traditional Chinese medicine (TCM) interventions, which tend to have minimal toxicity and side-effects. More importantly, these TCM interventions appear to offer significant effects in reducing DM-related complications beyond blood glucose control. However, more research is needed to further validate these claims and to explore their relevant mechanisms of action. The aims of this paper are (1) to provide an updated overview on the association between DM and cognitive dysfunction and (2) to review the scientific evidence underpinning the use of TCM interventions for the treatment and prevention of DM-induced cognitive dysfunction and dementia.","author":[{"dropping-particle":"","family":"Seto","given":"S. W.","non-dropping-particle":"","parse-names":false,"suffix":""},{"dropping-particle":"","family":"Yang","given":"G. Y.","non-dropping-particle":"","parse-names":false,"suffix":""},{"dropping-particle":"","family":"Kiat","given":"H.","non-dropping-particle":"","parse-names":false,"suffix":""},{"dropping-particle":"","family":"Bensoussan","given":"A.","non-dropping-particle":"","parse-names":false,"suffix":""},{"dropping-particle":"","family":"Kwan","given":"Y. W.","non-dropping-particle":"","parse-names":false,"suffix":""},{"dropping-particle":"","family":"Chang","given":"D.","non-dropping-particle":"","parse-names":false,"suffix":""}],"container-title":"International Journal of Endocrinology","id":"ITEM-1","issued":{"date-parts":[["2015"]]},"page":"1-14","title":"Diabetes mellitus, cognitive impairment, and traditional chinese medicine","type":"article-journal","volume":"2015"},"uris":["http://www.mendeley.com/documents/?uuid=0202e950-0a74-4adf-aa36-c0293ea1965e"]}],"mendeley":{"formattedCitation":"(Seto et al., 2015)","plainTextFormattedCitation":"(Seto et al., 2015)","previouslyFormattedCitation":"(Seto et al., 2015)"},"properties":{"noteIndex":0},"schema":"https://github.com/citation-style-language/schema/raw/master/csl-citation.json"}</w:instrText>
      </w:r>
      <w:r w:rsidR="009B26E3">
        <w:rPr>
          <w:rFonts w:ascii="Times New Roman" w:hAnsi="Times New Roman" w:cs="Times New Roman"/>
          <w:sz w:val="24"/>
          <w:szCs w:val="24"/>
        </w:rPr>
        <w:fldChar w:fldCharType="separate"/>
      </w:r>
      <w:r w:rsidR="009B26E3" w:rsidRPr="009B26E3">
        <w:rPr>
          <w:rFonts w:ascii="Times New Roman" w:hAnsi="Times New Roman" w:cs="Times New Roman"/>
          <w:noProof/>
          <w:sz w:val="24"/>
          <w:szCs w:val="24"/>
        </w:rPr>
        <w:t>(Seto et al., 2015)</w:t>
      </w:r>
      <w:r w:rsidR="009B26E3">
        <w:rPr>
          <w:rFonts w:ascii="Times New Roman" w:hAnsi="Times New Roman" w:cs="Times New Roman"/>
          <w:sz w:val="24"/>
          <w:szCs w:val="24"/>
        </w:rPr>
        <w:fldChar w:fldCharType="end"/>
      </w:r>
      <w:r w:rsidRPr="006B215F">
        <w:rPr>
          <w:rFonts w:ascii="Times New Roman" w:hAnsi="Times New Roman" w:cs="Times New Roman"/>
          <w:sz w:val="24"/>
          <w:szCs w:val="24"/>
        </w:rPr>
        <w:t xml:space="preserve">. </w:t>
      </w:r>
      <w:r w:rsidR="00000D40" w:rsidRPr="00000D40">
        <w:rPr>
          <w:rFonts w:ascii="Times New Roman" w:hAnsi="Times New Roman" w:cs="Times New Roman"/>
          <w:sz w:val="24"/>
          <w:szCs w:val="24"/>
        </w:rPr>
        <w:t xml:space="preserve">One of the natural ingredients that can be used for the treatment of DM is </w:t>
      </w:r>
      <w:r w:rsidR="00896B9D" w:rsidRPr="00896B9D">
        <w:rPr>
          <w:rFonts w:ascii="Times New Roman" w:hAnsi="Times New Roman" w:cs="Times New Roman"/>
          <w:i/>
          <w:sz w:val="24"/>
          <w:szCs w:val="24"/>
        </w:rPr>
        <w:t>Myrmeleon</w:t>
      </w:r>
      <w:r w:rsidR="00896B9D">
        <w:rPr>
          <w:rFonts w:ascii="Times New Roman" w:hAnsi="Times New Roman" w:cs="Times New Roman"/>
          <w:sz w:val="24"/>
          <w:szCs w:val="24"/>
        </w:rPr>
        <w:t xml:space="preserve"> sp </w:t>
      </w:r>
      <w:r w:rsidR="009B26E3">
        <w:rPr>
          <w:rFonts w:ascii="Times New Roman" w:hAnsi="Times New Roman" w:cs="Times New Roman"/>
          <w:sz w:val="24"/>
          <w:szCs w:val="24"/>
        </w:rPr>
        <w:fldChar w:fldCharType="begin" w:fldLock="1"/>
      </w:r>
      <w:r w:rsidR="009B26E3">
        <w:rPr>
          <w:rFonts w:ascii="Times New Roman" w:hAnsi="Times New Roman" w:cs="Times New Roman"/>
          <w:sz w:val="24"/>
          <w:szCs w:val="24"/>
        </w:rPr>
        <w:instrText>ADDIN CSL_CITATION {"citationItems":[{"id":"ITEM-1","itemData":{"DOI":"10.1088/1742-6596/1179/1/012177","ISSN":"17426596","abstract":"Diabetes Mellitus (DM) is a degenerative disease which classified as number 6 death caused worldwide mark by hyperglycemia condition. Antlion (Myrmeleon sp.) used as antidiabetic traditionally in Tasikmalaya. This research aims to evaluate antlion (Myrmeleon sp.) infusion antidiabetic activity. Dexamethasone was used to induce hyperglycemia condition in all treatment group. Negative group were given CMC 0,5%, positive group were given metformin 1,3 mg/20 g bw, dose 1, dose 2 and dose 3 were given antlion infusion 0,104 mg/20 g bw, 0,208 mg/20 g bw and 0,416 mg/20 g bw respectively. The effect of antlion infusion was observed at 0, 30, 60, 90 and 120 minutes. Antlion infusion has an antidiabetic activity which dose 2 showed the best effect in decreasing blood glucose. The best blood glucose decreasement (BGC) come out from dose 2 with % BGC at 60, 90 and 120 minutes 28,19%, 28,39 %, and 31,20 % respectively.","author":[{"dropping-particle":"","family":"Maryati","given":"Y.","non-dropping-particle":"","parse-names":false,"suffix":""},{"dropping-particle":"","family":"Alifiar","given":"I.","non-dropping-particle":"","parse-names":false,"suffix":""},{"dropping-particle":"","family":"Nurfatwa","given":"M.","non-dropping-particle":"","parse-names":false,"suffix":""},{"dropping-particle":"","family":"Nofianti","given":"T.","non-dropping-particle":"","parse-names":false,"suffix":""},{"dropping-particle":"","family":"Rahayuningsih","given":"N.","non-dropping-particle":"","parse-names":false,"suffix":""}],"container-title":"Journal of Physics: Conference Series","id":"ITEM-1","issue":"1","issued":{"date-parts":[["2019"]]},"title":"Antlion (Myrmeleon sp.) Infusion as Antidiabetic in Dexamethasone Induced Mice","type":"article-journal","volume":"1179"},"uris":["http://www.mendeley.com/documents/?uuid=73fb7830-f2b4-408e-bbb5-90a34ea763a2"]}],"mendeley":{"formattedCitation":"(Maryati et al., 2019)","plainTextFormattedCitation":"(Maryati et al., 2019)","previouslyFormattedCitation":"(Maryati et al., 2019)"},"properties":{"noteIndex":0},"schema":"https://github.com/citation-style-language/schema/raw/master/csl-citation.json"}</w:instrText>
      </w:r>
      <w:r w:rsidR="009B26E3">
        <w:rPr>
          <w:rFonts w:ascii="Times New Roman" w:hAnsi="Times New Roman" w:cs="Times New Roman"/>
          <w:sz w:val="24"/>
          <w:szCs w:val="24"/>
        </w:rPr>
        <w:fldChar w:fldCharType="separate"/>
      </w:r>
      <w:r w:rsidR="009B26E3" w:rsidRPr="009B26E3">
        <w:rPr>
          <w:rFonts w:ascii="Times New Roman" w:hAnsi="Times New Roman" w:cs="Times New Roman"/>
          <w:noProof/>
          <w:sz w:val="24"/>
          <w:szCs w:val="24"/>
        </w:rPr>
        <w:t>(Maryati et al., 2019)</w:t>
      </w:r>
      <w:r w:rsidR="009B26E3">
        <w:rPr>
          <w:rFonts w:ascii="Times New Roman" w:hAnsi="Times New Roman" w:cs="Times New Roman"/>
          <w:sz w:val="24"/>
          <w:szCs w:val="24"/>
        </w:rPr>
        <w:fldChar w:fldCharType="end"/>
      </w:r>
      <w:r w:rsidR="00000D40">
        <w:rPr>
          <w:rFonts w:ascii="Times New Roman" w:hAnsi="Times New Roman" w:cs="Times New Roman"/>
          <w:sz w:val="24"/>
          <w:szCs w:val="24"/>
        </w:rPr>
        <w:t xml:space="preserve">. </w:t>
      </w:r>
      <w:r w:rsidR="00000D40" w:rsidRPr="00000D40">
        <w:rPr>
          <w:rFonts w:ascii="Times New Roman" w:hAnsi="Times New Roman" w:cs="Times New Roman"/>
          <w:sz w:val="24"/>
          <w:szCs w:val="24"/>
        </w:rPr>
        <w:t xml:space="preserve">Methanolic extract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 sp</w:t>
      </w:r>
      <w:r w:rsidR="00000D40" w:rsidRPr="00000D40">
        <w:rPr>
          <w:rFonts w:ascii="Times New Roman" w:hAnsi="Times New Roman" w:cs="Times New Roman"/>
          <w:sz w:val="24"/>
          <w:szCs w:val="24"/>
        </w:rPr>
        <w:t>had the highest inhibitory activity toward α-glucosidase enzyme</w:t>
      </w:r>
      <w:r w:rsidR="009B26E3">
        <w:rPr>
          <w:rFonts w:ascii="Times New Roman" w:hAnsi="Times New Roman" w:cs="Times New Roman"/>
          <w:sz w:val="24"/>
          <w:szCs w:val="24"/>
        </w:rPr>
        <w:t xml:space="preserve"> </w:t>
      </w:r>
      <w:r w:rsidR="009B26E3">
        <w:rPr>
          <w:rFonts w:ascii="Times New Roman" w:hAnsi="Times New Roman" w:cs="Times New Roman"/>
          <w:sz w:val="24"/>
          <w:szCs w:val="24"/>
        </w:rPr>
        <w:fldChar w:fldCharType="begin" w:fldLock="1"/>
      </w:r>
      <w:r w:rsidR="000F52BE">
        <w:rPr>
          <w:rFonts w:ascii="Times New Roman" w:hAnsi="Times New Roman" w:cs="Times New Roman"/>
          <w:sz w:val="24"/>
          <w:szCs w:val="24"/>
        </w:rPr>
        <w:instrText>ADDIN CSL_CITATION {"citationItems":[{"id":"ITEM-1","itemData":{"ISBN":"9786026056931","author":[{"dropping-particle":"","family":"Rahma","given":"Hamidah Haryanti","non-dropping-particle":"","parse-names":false,"suffix":""},{"dropping-particle":"","family":"Sundhani","given":"Elza","non-dropping-particle":"","parse-names":false,"suffix":""},{"dropping-particle":"","family":"Nurulita","given":"Nunuk Aries","non-dropping-particle":"","parse-names":false,"suffix":""}],"container-title":"Proceeding ICMHS 2016","id":"ITEM-1","issued":{"date-parts":[["2016"]]},"page":"14-16","title":"Antidiabetic activity of powder and ethanolic extract of antlion (Myrmeleon sp.) on wistar strain white male rats with glucose preload","type":"article-journal"},"uris":["http://www.mendeley.com/documents/?uuid=7020d12f-0eeb-44d9-a879-877ae9e4c8f7"]}],"mendeley":{"formattedCitation":"(Rahma et al., 2016)","plainTextFormattedCitation":"(Rahma et al., 2016)","previouslyFormattedCitation":"(Rahma et al., 2016)"},"properties":{"noteIndex":0},"schema":"https://github.com/citation-style-language/schema/raw/master/csl-citation.json"}</w:instrText>
      </w:r>
      <w:r w:rsidR="009B26E3">
        <w:rPr>
          <w:rFonts w:ascii="Times New Roman" w:hAnsi="Times New Roman" w:cs="Times New Roman"/>
          <w:sz w:val="24"/>
          <w:szCs w:val="24"/>
        </w:rPr>
        <w:fldChar w:fldCharType="separate"/>
      </w:r>
      <w:r w:rsidR="009B26E3" w:rsidRPr="009B26E3">
        <w:rPr>
          <w:rFonts w:ascii="Times New Roman" w:hAnsi="Times New Roman" w:cs="Times New Roman"/>
          <w:noProof/>
          <w:sz w:val="24"/>
          <w:szCs w:val="24"/>
        </w:rPr>
        <w:t>(Rahma et al., 2016)</w:t>
      </w:r>
      <w:r w:rsidR="009B26E3">
        <w:rPr>
          <w:rFonts w:ascii="Times New Roman" w:hAnsi="Times New Roman" w:cs="Times New Roman"/>
          <w:sz w:val="24"/>
          <w:szCs w:val="24"/>
        </w:rPr>
        <w:fldChar w:fldCharType="end"/>
      </w:r>
      <w:r w:rsidR="00000D40">
        <w:rPr>
          <w:rFonts w:ascii="Times New Roman" w:hAnsi="Times New Roman" w:cs="Times New Roman"/>
          <w:sz w:val="24"/>
          <w:szCs w:val="24"/>
        </w:rPr>
        <w:t xml:space="preserve">, and </w:t>
      </w:r>
      <w:r w:rsidR="00A53F74" w:rsidRPr="00A53F74">
        <w:rPr>
          <w:rFonts w:ascii="Times New Roman" w:hAnsi="Times New Roman" w:cs="Times New Roman"/>
          <w:sz w:val="24"/>
          <w:szCs w:val="24"/>
        </w:rPr>
        <w:t xml:space="preserve">can significantly lower </w:t>
      </w:r>
      <w:r w:rsidR="00A53F74">
        <w:rPr>
          <w:rFonts w:ascii="Times New Roman" w:hAnsi="Times New Roman" w:cs="Times New Roman"/>
          <w:sz w:val="24"/>
          <w:szCs w:val="24"/>
        </w:rPr>
        <w:t xml:space="preserve">of </w:t>
      </w:r>
      <w:r w:rsidR="00A53F74" w:rsidRPr="00A53F74">
        <w:rPr>
          <w:rFonts w:ascii="Times New Roman" w:hAnsi="Times New Roman" w:cs="Times New Roman"/>
          <w:sz w:val="24"/>
          <w:szCs w:val="24"/>
        </w:rPr>
        <w:t>blood glucose levels</w:t>
      </w:r>
      <w:r w:rsidR="009B26E3">
        <w:rPr>
          <w:rFonts w:ascii="Times New Roman" w:hAnsi="Times New Roman" w:cs="Times New Roman"/>
          <w:sz w:val="24"/>
          <w:szCs w:val="24"/>
        </w:rPr>
        <w:t xml:space="preserve"> </w:t>
      </w:r>
      <w:r w:rsidR="000F52BE">
        <w:rPr>
          <w:rFonts w:ascii="Times New Roman" w:hAnsi="Times New Roman" w:cs="Times New Roman"/>
          <w:sz w:val="24"/>
          <w:szCs w:val="24"/>
        </w:rPr>
        <w:fldChar w:fldCharType="begin" w:fldLock="1"/>
      </w:r>
      <w:r w:rsidR="000F52BE">
        <w:rPr>
          <w:rFonts w:ascii="Times New Roman" w:hAnsi="Times New Roman" w:cs="Times New Roman"/>
          <w:sz w:val="24"/>
          <w:szCs w:val="24"/>
        </w:rPr>
        <w:instrText>ADDIN CSL_CITATION {"citationItems":[{"id":"ITEM-1","itemData":{"ISBN":"9786026056931","author":[{"dropping-particle":"","family":"Rahma","given":"Hamidah Haryanti","non-dropping-particle":"","parse-names":false,"suffix":""},{"dropping-particle":"","family":"Sundhani","given":"Elza","non-dropping-particle":"","parse-names":false,"suffix":""},{"dropping-particle":"","family":"Nurulita","given":"Nunuk Aries","non-dropping-particle":"","parse-names":false,"suffix":""}],"container-title":"Proceeding ICMHS 2016","id":"ITEM-1","issued":{"date-parts":[["2016"]]},"page":"14-16","title":"Antidiabetic activity of powder and ethanolic extract of antlion (Myrmeleon sp.) on wistar strain white male rats with glucose preload","type":"article-journal"},"uris":["http://www.mendeley.com/documents/?uuid=7020d12f-0eeb-44d9-a879-877ae9e4c8f7"]}],"mendeley":{"formattedCitation":"(Rahma et al., 2016)","plainTextFormattedCitation":"(Rahma et al., 2016)","previouslyFormattedCitation":"(Rahma et al., 2016)"},"properties":{"noteIndex":0},"schema":"https://github.com/citation-style-language/schema/raw/master/csl-citation.json"}</w:instrText>
      </w:r>
      <w:r w:rsidR="000F52BE">
        <w:rPr>
          <w:rFonts w:ascii="Times New Roman" w:hAnsi="Times New Roman" w:cs="Times New Roman"/>
          <w:sz w:val="24"/>
          <w:szCs w:val="24"/>
        </w:rPr>
        <w:fldChar w:fldCharType="separate"/>
      </w:r>
      <w:r w:rsidR="000F52BE" w:rsidRPr="000F52BE">
        <w:rPr>
          <w:rFonts w:ascii="Times New Roman" w:hAnsi="Times New Roman" w:cs="Times New Roman"/>
          <w:noProof/>
          <w:sz w:val="24"/>
          <w:szCs w:val="24"/>
        </w:rPr>
        <w:t>(Rahma et al., 2016)</w:t>
      </w:r>
      <w:r w:rsidR="000F52BE">
        <w:rPr>
          <w:rFonts w:ascii="Times New Roman" w:hAnsi="Times New Roman" w:cs="Times New Roman"/>
          <w:sz w:val="24"/>
          <w:szCs w:val="24"/>
        </w:rPr>
        <w:fldChar w:fldCharType="end"/>
      </w:r>
      <w:r w:rsidR="00A53F74">
        <w:rPr>
          <w:rFonts w:ascii="Times New Roman" w:hAnsi="Times New Roman" w:cs="Times New Roman"/>
          <w:sz w:val="24"/>
          <w:szCs w:val="24"/>
        </w:rPr>
        <w:t>.</w:t>
      </w:r>
      <w:r w:rsidR="0057654C">
        <w:rPr>
          <w:rFonts w:ascii="Times New Roman" w:hAnsi="Times New Roman" w:cs="Times New Roman"/>
          <w:sz w:val="24"/>
          <w:szCs w:val="24"/>
        </w:rPr>
        <w:t xml:space="preserve"> This study </w:t>
      </w:r>
      <w:r w:rsidR="0057654C" w:rsidRPr="0057654C">
        <w:rPr>
          <w:rFonts w:ascii="Times New Roman" w:hAnsi="Times New Roman" w:cs="Times New Roman"/>
          <w:sz w:val="24"/>
          <w:szCs w:val="24"/>
        </w:rPr>
        <w:t xml:space="preserve">aimed </w:t>
      </w:r>
      <w:r w:rsidR="0057654C">
        <w:rPr>
          <w:rFonts w:ascii="Times New Roman" w:hAnsi="Times New Roman" w:cs="Times New Roman"/>
          <w:sz w:val="24"/>
          <w:szCs w:val="24"/>
        </w:rPr>
        <w:t xml:space="preserve">to </w:t>
      </w:r>
      <w:r w:rsidR="0057654C" w:rsidRPr="0057654C">
        <w:rPr>
          <w:rFonts w:ascii="Times New Roman" w:hAnsi="Times New Roman" w:cs="Times New Roman"/>
          <w:sz w:val="24"/>
          <w:szCs w:val="24"/>
        </w:rPr>
        <w:t>examine</w:t>
      </w:r>
      <w:r w:rsidR="0057654C">
        <w:rPr>
          <w:rFonts w:ascii="Times New Roman" w:hAnsi="Times New Roman" w:cs="Times New Roman"/>
          <w:sz w:val="24"/>
          <w:szCs w:val="24"/>
        </w:rPr>
        <w:t xml:space="preserve"> the </w:t>
      </w:r>
      <w:r w:rsidR="0057654C" w:rsidRPr="0057654C">
        <w:rPr>
          <w:rFonts w:ascii="Times New Roman" w:hAnsi="Times New Roman" w:cs="Times New Roman"/>
          <w:sz w:val="24"/>
          <w:szCs w:val="24"/>
        </w:rPr>
        <w:t xml:space="preserve">effectiveness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57654C" w:rsidRPr="0057654C">
        <w:rPr>
          <w:rFonts w:ascii="Times New Roman" w:hAnsi="Times New Roman" w:cs="Times New Roman"/>
          <w:sz w:val="24"/>
          <w:szCs w:val="24"/>
        </w:rPr>
        <w:t xml:space="preserve"> to lower blood sugar in</w:t>
      </w:r>
      <w:r w:rsidR="0057654C">
        <w:rPr>
          <w:rFonts w:ascii="Times New Roman" w:hAnsi="Times New Roman" w:cs="Times New Roman"/>
          <w:sz w:val="24"/>
          <w:szCs w:val="24"/>
        </w:rPr>
        <w:t xml:space="preserve"> </w:t>
      </w:r>
      <w:r w:rsidR="0057654C" w:rsidRPr="006B215F">
        <w:rPr>
          <w:rFonts w:ascii="Times New Roman" w:hAnsi="Times New Roman" w:cs="Times New Roman"/>
          <w:sz w:val="24"/>
          <w:szCs w:val="24"/>
        </w:rPr>
        <w:t xml:space="preserve">diabetes mellitus </w:t>
      </w:r>
      <w:r w:rsidR="0057654C" w:rsidRPr="0057654C">
        <w:rPr>
          <w:rFonts w:ascii="Times New Roman" w:hAnsi="Times New Roman" w:cs="Times New Roman"/>
          <w:sz w:val="24"/>
          <w:szCs w:val="24"/>
        </w:rPr>
        <w:t>patients</w:t>
      </w:r>
      <w:r w:rsidR="0057654C">
        <w:rPr>
          <w:rFonts w:ascii="Times New Roman" w:hAnsi="Times New Roman" w:cs="Times New Roman"/>
          <w:sz w:val="24"/>
          <w:szCs w:val="24"/>
        </w:rPr>
        <w:t xml:space="preserve"> </w:t>
      </w:r>
      <w:r w:rsidR="0057654C" w:rsidRPr="0057654C">
        <w:rPr>
          <w:rFonts w:ascii="Times New Roman" w:hAnsi="Times New Roman" w:cs="Times New Roman"/>
          <w:sz w:val="24"/>
          <w:szCs w:val="24"/>
        </w:rPr>
        <w:t>at Batui health center Banggai Regency</w:t>
      </w:r>
      <w:r w:rsidR="0057654C">
        <w:rPr>
          <w:rFonts w:ascii="Times New Roman" w:hAnsi="Times New Roman" w:cs="Times New Roman"/>
          <w:sz w:val="24"/>
          <w:szCs w:val="24"/>
        </w:rPr>
        <w:t>.</w:t>
      </w:r>
    </w:p>
    <w:p w:rsidR="0060182C" w:rsidRDefault="00E73989" w:rsidP="004C0E3C">
      <w:pPr>
        <w:jc w:val="both"/>
        <w:rPr>
          <w:rFonts w:ascii="Times New Roman" w:hAnsi="Times New Roman" w:cs="Times New Roman"/>
          <w:sz w:val="24"/>
          <w:szCs w:val="24"/>
        </w:rPr>
      </w:pPr>
      <w:r>
        <w:rPr>
          <w:rFonts w:ascii="Times New Roman" w:hAnsi="Times New Roman" w:cs="Times New Roman"/>
          <w:b/>
          <w:sz w:val="24"/>
          <w:szCs w:val="24"/>
        </w:rPr>
        <w:t>Methods</w:t>
      </w:r>
    </w:p>
    <w:p w:rsidR="0060182C" w:rsidRDefault="006B215F" w:rsidP="00AD3F9A">
      <w:pPr>
        <w:spacing w:after="0"/>
        <w:ind w:firstLine="720"/>
        <w:jc w:val="both"/>
        <w:rPr>
          <w:rFonts w:ascii="Times New Roman" w:hAnsi="Times New Roman" w:cs="Times New Roman"/>
          <w:sz w:val="24"/>
          <w:szCs w:val="24"/>
        </w:rPr>
      </w:pPr>
      <w:r w:rsidRPr="006B215F">
        <w:rPr>
          <w:rFonts w:ascii="Times New Roman" w:hAnsi="Times New Roman" w:cs="Times New Roman"/>
          <w:sz w:val="24"/>
          <w:szCs w:val="24"/>
        </w:rPr>
        <w:t xml:space="preserve">The type of this research is </w:t>
      </w:r>
      <w:r w:rsidR="0057654C" w:rsidRPr="006B215F">
        <w:rPr>
          <w:rFonts w:ascii="Times New Roman" w:hAnsi="Times New Roman" w:cs="Times New Roman"/>
          <w:sz w:val="24"/>
          <w:szCs w:val="24"/>
        </w:rPr>
        <w:t>quasi experiment</w:t>
      </w:r>
      <w:r w:rsidR="0057654C">
        <w:rPr>
          <w:rFonts w:ascii="Times New Roman" w:hAnsi="Times New Roman" w:cs="Times New Roman"/>
          <w:sz w:val="24"/>
          <w:szCs w:val="24"/>
        </w:rPr>
        <w:t xml:space="preserve">, </w:t>
      </w:r>
      <w:r w:rsidRPr="006B215F">
        <w:rPr>
          <w:rFonts w:ascii="Times New Roman" w:hAnsi="Times New Roman" w:cs="Times New Roman"/>
          <w:sz w:val="24"/>
          <w:szCs w:val="24"/>
        </w:rPr>
        <w:t>use</w:t>
      </w:r>
      <w:r w:rsidR="0057654C">
        <w:rPr>
          <w:rFonts w:ascii="Times New Roman" w:hAnsi="Times New Roman" w:cs="Times New Roman"/>
          <w:sz w:val="24"/>
          <w:szCs w:val="24"/>
        </w:rPr>
        <w:t>d</w:t>
      </w:r>
      <w:r w:rsidRPr="006B215F">
        <w:rPr>
          <w:rFonts w:ascii="Times New Roman" w:hAnsi="Times New Roman" w:cs="Times New Roman"/>
          <w:sz w:val="24"/>
          <w:szCs w:val="24"/>
        </w:rPr>
        <w:t xml:space="preserve"> </w:t>
      </w:r>
      <w:r w:rsidR="0057654C" w:rsidRPr="006B215F">
        <w:rPr>
          <w:rFonts w:ascii="Times New Roman" w:hAnsi="Times New Roman" w:cs="Times New Roman"/>
          <w:sz w:val="24"/>
          <w:szCs w:val="24"/>
        </w:rPr>
        <w:t>one</w:t>
      </w:r>
      <w:r w:rsidR="00896B9D">
        <w:rPr>
          <w:rFonts w:ascii="Times New Roman" w:hAnsi="Times New Roman" w:cs="Times New Roman"/>
          <w:sz w:val="24"/>
          <w:szCs w:val="24"/>
        </w:rPr>
        <w:t xml:space="preserve"> </w:t>
      </w:r>
      <w:r w:rsidR="0057654C" w:rsidRPr="006B215F">
        <w:rPr>
          <w:rFonts w:ascii="Times New Roman" w:hAnsi="Times New Roman" w:cs="Times New Roman"/>
          <w:sz w:val="24"/>
          <w:szCs w:val="24"/>
        </w:rPr>
        <w:t>group pretest-posttest design</w:t>
      </w:r>
      <w:r w:rsidRPr="006B215F">
        <w:rPr>
          <w:rFonts w:ascii="Times New Roman" w:hAnsi="Times New Roman" w:cs="Times New Roman"/>
          <w:sz w:val="24"/>
          <w:szCs w:val="24"/>
        </w:rPr>
        <w:t>, where the research subjects were divided into one experimental group, a pretest was given before treatment, after that a posttest was carried out to determine the results of the study</w:t>
      </w:r>
      <w:r w:rsidR="0057654C">
        <w:rPr>
          <w:rFonts w:ascii="Times New Roman" w:hAnsi="Times New Roman" w:cs="Times New Roman"/>
          <w:sz w:val="24"/>
          <w:szCs w:val="24"/>
        </w:rPr>
        <w:t xml:space="preserve">. </w:t>
      </w:r>
      <w:r w:rsidRPr="006B215F">
        <w:rPr>
          <w:rFonts w:ascii="Times New Roman" w:hAnsi="Times New Roman" w:cs="Times New Roman"/>
          <w:sz w:val="24"/>
          <w:szCs w:val="24"/>
        </w:rPr>
        <w:t xml:space="preserve">The subjects of this study were 40 patients diagnosed with </w:t>
      </w:r>
      <w:r w:rsidR="00045065" w:rsidRPr="006B215F">
        <w:rPr>
          <w:rFonts w:ascii="Times New Roman" w:hAnsi="Times New Roman" w:cs="Times New Roman"/>
          <w:sz w:val="24"/>
          <w:szCs w:val="24"/>
        </w:rPr>
        <w:t xml:space="preserve">diabetes mellitus </w:t>
      </w:r>
      <w:r w:rsidRPr="006B215F">
        <w:rPr>
          <w:rFonts w:ascii="Times New Roman" w:hAnsi="Times New Roman" w:cs="Times New Roman"/>
          <w:sz w:val="24"/>
          <w:szCs w:val="24"/>
        </w:rPr>
        <w:t>in the working area of ​​</w:t>
      </w:r>
      <w:r w:rsidR="0057654C" w:rsidRPr="0057654C">
        <w:rPr>
          <w:rFonts w:ascii="Times New Roman" w:hAnsi="Times New Roman" w:cs="Times New Roman"/>
          <w:sz w:val="24"/>
          <w:szCs w:val="24"/>
        </w:rPr>
        <w:t xml:space="preserve"> Batui health center Banggai Regency</w:t>
      </w:r>
      <w:r w:rsidRPr="006B215F">
        <w:rPr>
          <w:rFonts w:ascii="Times New Roman" w:hAnsi="Times New Roman" w:cs="Times New Roman"/>
          <w:sz w:val="24"/>
          <w:szCs w:val="24"/>
        </w:rPr>
        <w:t xml:space="preserve">. The sample selection used a purposive sampling technique, including: (a) chronic diabetes mellitus patients, (b) having blood sugar levels (GDS) more than the normal limit&gt; 180 mg / dl when the treatment is going to be carried out (c) the patient who is willing / agree to be given the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045065" w:rsidRPr="006B215F">
        <w:rPr>
          <w:rFonts w:ascii="Times New Roman" w:hAnsi="Times New Roman" w:cs="Times New Roman"/>
          <w:sz w:val="24"/>
          <w:szCs w:val="24"/>
        </w:rPr>
        <w:t xml:space="preserve"> </w:t>
      </w:r>
      <w:r w:rsidRPr="006B215F">
        <w:rPr>
          <w:rFonts w:ascii="Times New Roman" w:hAnsi="Times New Roman" w:cs="Times New Roman"/>
          <w:sz w:val="24"/>
          <w:szCs w:val="24"/>
        </w:rPr>
        <w:t xml:space="preserve">consumption (d) there is not experiencing serious complications from </w:t>
      </w:r>
      <w:r w:rsidR="00045065" w:rsidRPr="006B215F">
        <w:rPr>
          <w:rFonts w:ascii="Times New Roman" w:hAnsi="Times New Roman" w:cs="Times New Roman"/>
          <w:sz w:val="24"/>
          <w:szCs w:val="24"/>
        </w:rPr>
        <w:t>diabetes mellitus</w:t>
      </w:r>
    </w:p>
    <w:p w:rsidR="0060182C" w:rsidRDefault="00045065" w:rsidP="00B231C8">
      <w:pPr>
        <w:spacing w:after="120"/>
        <w:ind w:firstLine="720"/>
        <w:jc w:val="both"/>
        <w:rPr>
          <w:rFonts w:ascii="Times New Roman" w:hAnsi="Times New Roman" w:cs="Times New Roman"/>
          <w:sz w:val="24"/>
          <w:szCs w:val="24"/>
        </w:rPr>
      </w:pPr>
      <w:r w:rsidRPr="00045065">
        <w:rPr>
          <w:rFonts w:ascii="Times New Roman" w:hAnsi="Times New Roman" w:cs="Times New Roman"/>
          <w:sz w:val="24"/>
          <w:szCs w:val="24"/>
        </w:rPr>
        <w:t>The experiment was conducted twice observationally before and after treatment. Research with one group pre-test and post-test design desi</w:t>
      </w:r>
      <w:r>
        <w:rPr>
          <w:rFonts w:ascii="Times New Roman" w:hAnsi="Times New Roman" w:cs="Times New Roman"/>
          <w:sz w:val="24"/>
          <w:szCs w:val="24"/>
        </w:rPr>
        <w:t>gn is conducted in three stages</w:t>
      </w:r>
      <w:r w:rsidR="006B215F" w:rsidRPr="006B215F">
        <w:rPr>
          <w:rFonts w:ascii="Times New Roman" w:hAnsi="Times New Roman" w:cs="Times New Roman"/>
          <w:sz w:val="24"/>
          <w:szCs w:val="24"/>
        </w:rPr>
        <w:t xml:space="preserve">. </w:t>
      </w:r>
      <w:r>
        <w:rPr>
          <w:rFonts w:ascii="Times New Roman" w:hAnsi="Times New Roman" w:cs="Times New Roman"/>
          <w:sz w:val="24"/>
          <w:szCs w:val="24"/>
        </w:rPr>
        <w:t>The f</w:t>
      </w:r>
      <w:r w:rsidR="006B215F" w:rsidRPr="006B215F">
        <w:rPr>
          <w:rFonts w:ascii="Times New Roman" w:hAnsi="Times New Roman" w:cs="Times New Roman"/>
          <w:sz w:val="24"/>
          <w:szCs w:val="24"/>
        </w:rPr>
        <w:t xml:space="preserve">irst, measuring the dependent variable, namely blood sugar levels before the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Pr="006B215F">
        <w:rPr>
          <w:rFonts w:ascii="Times New Roman" w:hAnsi="Times New Roman" w:cs="Times New Roman"/>
          <w:sz w:val="24"/>
          <w:szCs w:val="24"/>
        </w:rPr>
        <w:t xml:space="preserve"> </w:t>
      </w:r>
      <w:r w:rsidR="006B215F" w:rsidRPr="006B215F">
        <w:rPr>
          <w:rFonts w:ascii="Times New Roman" w:hAnsi="Times New Roman" w:cs="Times New Roman"/>
          <w:sz w:val="24"/>
          <w:szCs w:val="24"/>
        </w:rPr>
        <w:t>test (pre-test)</w:t>
      </w:r>
      <w:r>
        <w:rPr>
          <w:rFonts w:ascii="Times New Roman" w:hAnsi="Times New Roman" w:cs="Times New Roman"/>
          <w:sz w:val="24"/>
          <w:szCs w:val="24"/>
        </w:rPr>
        <w:t xml:space="preserve">. The </w:t>
      </w:r>
      <w:r w:rsidR="006B215F" w:rsidRPr="006B215F">
        <w:rPr>
          <w:rFonts w:ascii="Times New Roman" w:hAnsi="Times New Roman" w:cs="Times New Roman"/>
          <w:sz w:val="24"/>
          <w:szCs w:val="24"/>
        </w:rPr>
        <w:t xml:space="preserve">second, giving treatment, namely consumption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6B215F" w:rsidRPr="006B215F">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6B215F" w:rsidRPr="006B215F">
        <w:rPr>
          <w:rFonts w:ascii="Times New Roman" w:hAnsi="Times New Roman" w:cs="Times New Roman"/>
          <w:sz w:val="24"/>
          <w:szCs w:val="24"/>
        </w:rPr>
        <w:t>third, measuring differences in GDS levels after treatme</w:t>
      </w:r>
      <w:r w:rsidR="0060182C">
        <w:rPr>
          <w:rFonts w:ascii="Times New Roman" w:hAnsi="Times New Roman" w:cs="Times New Roman"/>
          <w:sz w:val="24"/>
          <w:szCs w:val="24"/>
        </w:rPr>
        <w:t>nt (post-test).</w:t>
      </w:r>
      <w:r>
        <w:rPr>
          <w:rFonts w:ascii="Times New Roman" w:hAnsi="Times New Roman" w:cs="Times New Roman"/>
          <w:sz w:val="24"/>
          <w:szCs w:val="24"/>
        </w:rPr>
        <w:t xml:space="preserve"> </w:t>
      </w:r>
      <w:r w:rsidR="00E73989">
        <w:rPr>
          <w:rFonts w:ascii="Times New Roman" w:hAnsi="Times New Roman" w:cs="Times New Roman"/>
          <w:sz w:val="24"/>
          <w:szCs w:val="24"/>
        </w:rPr>
        <w:t>The t</w:t>
      </w:r>
      <w:r w:rsidR="00E73989" w:rsidRPr="00E73989">
        <w:rPr>
          <w:rFonts w:ascii="Times New Roman" w:hAnsi="Times New Roman" w:cs="Times New Roman"/>
          <w:sz w:val="24"/>
          <w:szCs w:val="24"/>
        </w:rPr>
        <w:t xml:space="preserve">reatment is given for 7 days by consuming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E73989">
        <w:rPr>
          <w:rFonts w:ascii="Times New Roman" w:hAnsi="Times New Roman" w:cs="Times New Roman"/>
          <w:sz w:val="24"/>
          <w:szCs w:val="24"/>
        </w:rPr>
        <w:t xml:space="preserve">. </w:t>
      </w:r>
      <w:r>
        <w:rPr>
          <w:rFonts w:ascii="Times New Roman" w:hAnsi="Times New Roman" w:cs="Times New Roman"/>
          <w:sz w:val="24"/>
          <w:szCs w:val="24"/>
        </w:rPr>
        <w:t>The data were collected u</w:t>
      </w:r>
      <w:r w:rsidR="006B215F" w:rsidRPr="006B215F">
        <w:rPr>
          <w:rFonts w:ascii="Times New Roman" w:hAnsi="Times New Roman" w:cs="Times New Roman"/>
          <w:sz w:val="24"/>
          <w:szCs w:val="24"/>
        </w:rPr>
        <w:t>sing a questionnaire and observation sheet measuring blood sugar levels through a glucometer examination where normal is within the GDS range of 100mg / dl - 180 mg / dl, mild diabetes if the GDS level is in the range 200mg / dl - 350 mg / dl, and severe diabetes if in the range of more than 350 mg / dl</w:t>
      </w:r>
      <w:r>
        <w:rPr>
          <w:rFonts w:ascii="Times New Roman" w:hAnsi="Times New Roman" w:cs="Times New Roman"/>
          <w:sz w:val="24"/>
          <w:szCs w:val="24"/>
        </w:rPr>
        <w:t>.</w:t>
      </w:r>
      <w:r w:rsidR="00E73989">
        <w:rPr>
          <w:rFonts w:ascii="Times New Roman" w:hAnsi="Times New Roman" w:cs="Times New Roman"/>
          <w:sz w:val="24"/>
          <w:szCs w:val="24"/>
        </w:rPr>
        <w:t xml:space="preserve"> The data were </w:t>
      </w:r>
      <w:r w:rsidR="00E73989" w:rsidRPr="00E73989">
        <w:rPr>
          <w:rFonts w:ascii="Times New Roman" w:hAnsi="Times New Roman" w:cs="Times New Roman"/>
          <w:sz w:val="24"/>
          <w:szCs w:val="24"/>
        </w:rPr>
        <w:t xml:space="preserve">analyzed </w:t>
      </w:r>
      <w:r w:rsidR="00767D88" w:rsidRPr="00B61FA4">
        <w:rPr>
          <w:rFonts w:ascii="Times New Roman" w:eastAsia="Times New Roman" w:hAnsi="Times New Roman"/>
          <w:sz w:val="24"/>
          <w:szCs w:val="24"/>
        </w:rPr>
        <w:t xml:space="preserve">used </w:t>
      </w:r>
      <w:r w:rsidR="00767D88">
        <w:rPr>
          <w:rFonts w:ascii="Times New Roman" w:eastAsia="Times New Roman" w:hAnsi="Times New Roman"/>
          <w:sz w:val="24"/>
          <w:szCs w:val="24"/>
        </w:rPr>
        <w:t>Wilcoxon S</w:t>
      </w:r>
      <w:r w:rsidR="00767D88" w:rsidRPr="00B61FA4">
        <w:rPr>
          <w:rFonts w:ascii="Times New Roman" w:eastAsia="Times New Roman" w:hAnsi="Times New Roman"/>
          <w:sz w:val="24"/>
          <w:szCs w:val="24"/>
        </w:rPr>
        <w:t xml:space="preserve">igned </w:t>
      </w:r>
      <w:r w:rsidR="00767D88">
        <w:rPr>
          <w:rFonts w:ascii="Times New Roman" w:eastAsia="Times New Roman" w:hAnsi="Times New Roman"/>
          <w:sz w:val="24"/>
          <w:szCs w:val="24"/>
        </w:rPr>
        <w:t>Rank T</w:t>
      </w:r>
      <w:r w:rsidR="00E73989">
        <w:rPr>
          <w:rFonts w:ascii="Times New Roman" w:eastAsia="Times New Roman" w:hAnsi="Times New Roman"/>
          <w:sz w:val="24"/>
          <w:szCs w:val="24"/>
        </w:rPr>
        <w:t xml:space="preserve">est (Reidy &amp; Dancey, 2007) </w:t>
      </w:r>
      <w:r w:rsidR="00767D88" w:rsidRPr="00B61FA4">
        <w:rPr>
          <w:rFonts w:ascii="Times New Roman" w:eastAsia="Times New Roman" w:hAnsi="Times New Roman"/>
          <w:sz w:val="24"/>
          <w:szCs w:val="24"/>
        </w:rPr>
        <w:t xml:space="preserve">using </w:t>
      </w:r>
      <w:r w:rsidR="00E73989" w:rsidRPr="00B61FA4">
        <w:rPr>
          <w:rFonts w:ascii="Times New Roman" w:eastAsia="Times New Roman" w:hAnsi="Times New Roman"/>
          <w:sz w:val="24"/>
          <w:szCs w:val="24"/>
        </w:rPr>
        <w:t xml:space="preserve">SSPS </w:t>
      </w:r>
      <w:r w:rsidR="00767D88" w:rsidRPr="00B61FA4">
        <w:rPr>
          <w:rFonts w:ascii="Times New Roman" w:eastAsia="Times New Roman" w:hAnsi="Times New Roman"/>
          <w:sz w:val="24"/>
          <w:szCs w:val="24"/>
        </w:rPr>
        <w:t>program</w:t>
      </w:r>
      <w:r w:rsidR="00767D88">
        <w:rPr>
          <w:rFonts w:ascii="Times New Roman" w:eastAsia="Times New Roman" w:hAnsi="Times New Roman"/>
          <w:sz w:val="24"/>
          <w:szCs w:val="24"/>
        </w:rPr>
        <w:t>.</w:t>
      </w:r>
    </w:p>
    <w:p w:rsidR="00B231C8" w:rsidRDefault="006B215F" w:rsidP="00B231C8">
      <w:pPr>
        <w:spacing w:after="0"/>
        <w:jc w:val="both"/>
        <w:rPr>
          <w:rFonts w:ascii="Times New Roman" w:hAnsi="Times New Roman" w:cs="Times New Roman"/>
          <w:sz w:val="24"/>
          <w:szCs w:val="24"/>
        </w:rPr>
      </w:pPr>
      <w:r w:rsidRPr="0060182C">
        <w:rPr>
          <w:rFonts w:ascii="Times New Roman" w:hAnsi="Times New Roman" w:cs="Times New Roman"/>
          <w:b/>
          <w:sz w:val="24"/>
          <w:szCs w:val="24"/>
        </w:rPr>
        <w:t xml:space="preserve">Result </w:t>
      </w:r>
      <w:r w:rsidR="0005024F">
        <w:rPr>
          <w:rFonts w:ascii="Times New Roman" w:hAnsi="Times New Roman" w:cs="Times New Roman"/>
          <w:b/>
          <w:sz w:val="24"/>
          <w:szCs w:val="24"/>
        </w:rPr>
        <w:t xml:space="preserve">and </w:t>
      </w:r>
      <w:r w:rsidR="0005024F" w:rsidRPr="003F3A07">
        <w:rPr>
          <w:rFonts w:ascii="Times New Roman" w:hAnsi="Times New Roman" w:cs="Times New Roman"/>
          <w:b/>
          <w:sz w:val="24"/>
          <w:szCs w:val="24"/>
        </w:rPr>
        <w:t>Discussion</w:t>
      </w:r>
    </w:p>
    <w:p w:rsidR="004C0E3C" w:rsidRDefault="001357D0" w:rsidP="00B231C8">
      <w:pPr>
        <w:spacing w:after="0"/>
        <w:ind w:firstLine="709"/>
        <w:jc w:val="both"/>
        <w:rPr>
          <w:rFonts w:ascii="Times New Roman" w:hAnsi="Times New Roman" w:cs="Times New Roman"/>
          <w:sz w:val="24"/>
          <w:szCs w:val="24"/>
        </w:rPr>
      </w:pPr>
      <w:r w:rsidRPr="006B215F">
        <w:rPr>
          <w:rFonts w:ascii="Times New Roman" w:hAnsi="Times New Roman" w:cs="Times New Roman"/>
          <w:sz w:val="24"/>
          <w:szCs w:val="24"/>
        </w:rPr>
        <w:t>Based on table 1</w:t>
      </w:r>
      <w:r>
        <w:rPr>
          <w:rFonts w:ascii="Times New Roman" w:hAnsi="Times New Roman" w:cs="Times New Roman"/>
          <w:sz w:val="24"/>
          <w:szCs w:val="24"/>
        </w:rPr>
        <w:t xml:space="preserve"> </w:t>
      </w:r>
      <w:r w:rsidRPr="006B215F">
        <w:rPr>
          <w:rFonts w:ascii="Times New Roman" w:hAnsi="Times New Roman" w:cs="Times New Roman"/>
          <w:sz w:val="24"/>
          <w:szCs w:val="24"/>
        </w:rPr>
        <w:t>showed that the age group of respondents is at most 50% in the age range 56 - 65 years, this shows that the majority of people with diabetes are at a degenerative age before reaching the old elderly period. The data above shows that there is sufficiently strong evidence that age will increase the risk of increasing blo</w:t>
      </w:r>
      <w:r>
        <w:rPr>
          <w:rFonts w:ascii="Times New Roman" w:hAnsi="Times New Roman" w:cs="Times New Roman"/>
          <w:sz w:val="24"/>
          <w:szCs w:val="24"/>
        </w:rPr>
        <w:t>od sugar in the body</w:t>
      </w:r>
    </w:p>
    <w:p w:rsidR="00E43054" w:rsidRDefault="00E43054" w:rsidP="001357D0">
      <w:pPr>
        <w:rPr>
          <w:rFonts w:ascii="Times New Roman" w:hAnsi="Times New Roman" w:cs="Times New Roman"/>
          <w:sz w:val="24"/>
          <w:szCs w:val="24"/>
        </w:rPr>
      </w:pPr>
    </w:p>
    <w:p w:rsidR="001357D0" w:rsidRDefault="006B215F" w:rsidP="001357D0">
      <w:pPr>
        <w:rPr>
          <w:rFonts w:ascii="Times New Roman" w:hAnsi="Times New Roman" w:cs="Times New Roman"/>
          <w:sz w:val="24"/>
          <w:szCs w:val="24"/>
        </w:rPr>
      </w:pPr>
      <w:r w:rsidRPr="001357D0">
        <w:rPr>
          <w:rFonts w:ascii="Times New Roman" w:hAnsi="Times New Roman" w:cs="Times New Roman"/>
          <w:sz w:val="24"/>
          <w:szCs w:val="24"/>
        </w:rPr>
        <w:lastRenderedPageBreak/>
        <w:t xml:space="preserve">Table. 1 Distribution of respondents by Age, Gender, </w:t>
      </w:r>
      <w:r w:rsidR="001357D0" w:rsidRPr="001357D0">
        <w:rPr>
          <w:rFonts w:ascii="Times New Roman" w:hAnsi="Times New Roman" w:cs="Times New Roman"/>
          <w:sz w:val="24"/>
          <w:szCs w:val="24"/>
        </w:rPr>
        <w:t>Profession</w:t>
      </w:r>
      <w:r w:rsidRPr="001357D0">
        <w:rPr>
          <w:rFonts w:ascii="Times New Roman" w:hAnsi="Times New Roman" w:cs="Times New Roman"/>
          <w:sz w:val="24"/>
          <w:szCs w:val="24"/>
        </w:rPr>
        <w:t>  (N=40)</w:t>
      </w:r>
      <w:r w:rsidR="001357D0">
        <w:rPr>
          <w:rFonts w:ascii="Times New Roman" w:hAnsi="Times New Roman" w:cs="Times New Roman"/>
          <w:sz w:val="24"/>
          <w:szCs w:val="24"/>
        </w:rPr>
        <w:t xml:space="preserve"> </w:t>
      </w:r>
    </w:p>
    <w:tbl>
      <w:tblPr>
        <w:tblW w:w="8258" w:type="dxa"/>
        <w:tblInd w:w="108" w:type="dxa"/>
        <w:tblLook w:val="04A0" w:firstRow="1" w:lastRow="0" w:firstColumn="1" w:lastColumn="0" w:noHBand="0" w:noVBand="1"/>
      </w:tblPr>
      <w:tblGrid>
        <w:gridCol w:w="1231"/>
        <w:gridCol w:w="2924"/>
        <w:gridCol w:w="1923"/>
        <w:gridCol w:w="2180"/>
      </w:tblGrid>
      <w:tr w:rsidR="001357D0" w:rsidRPr="001357D0" w:rsidTr="001357D0">
        <w:trPr>
          <w:trHeight w:val="256"/>
        </w:trPr>
        <w:tc>
          <w:tcPr>
            <w:tcW w:w="1231" w:type="dxa"/>
            <w:tcBorders>
              <w:top w:val="single" w:sz="4" w:space="0" w:color="auto"/>
              <w:left w:val="nil"/>
              <w:bottom w:val="single" w:sz="4" w:space="0" w:color="auto"/>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b/>
                <w:bCs/>
                <w:color w:val="000000"/>
                <w:sz w:val="24"/>
                <w:szCs w:val="24"/>
              </w:rPr>
            </w:pPr>
            <w:r w:rsidRPr="001357D0">
              <w:rPr>
                <w:rFonts w:ascii="Times New Roman" w:eastAsia="Times New Roman" w:hAnsi="Times New Roman" w:cs="Times New Roman"/>
                <w:b/>
                <w:bCs/>
                <w:color w:val="000000"/>
                <w:sz w:val="24"/>
                <w:szCs w:val="24"/>
                <w:lang w:val="en-GB"/>
              </w:rPr>
              <w:t>No</w:t>
            </w:r>
          </w:p>
        </w:tc>
        <w:tc>
          <w:tcPr>
            <w:tcW w:w="2924" w:type="dxa"/>
            <w:tcBorders>
              <w:top w:val="single" w:sz="4" w:space="0" w:color="auto"/>
              <w:left w:val="nil"/>
              <w:bottom w:val="single" w:sz="4" w:space="0" w:color="auto"/>
              <w:right w:val="nil"/>
            </w:tcBorders>
            <w:shd w:val="clear" w:color="auto" w:fill="auto"/>
            <w:vAlign w:val="center"/>
            <w:hideMark/>
          </w:tcPr>
          <w:p w:rsidR="001357D0" w:rsidRPr="001357D0" w:rsidRDefault="001357D0" w:rsidP="001357D0">
            <w:pPr>
              <w:spacing w:after="0" w:line="240" w:lineRule="auto"/>
              <w:rPr>
                <w:rFonts w:ascii="Times New Roman" w:eastAsia="Times New Roman" w:hAnsi="Times New Roman" w:cs="Times New Roman"/>
                <w:b/>
                <w:bCs/>
                <w:color w:val="000000"/>
                <w:sz w:val="24"/>
                <w:szCs w:val="24"/>
              </w:rPr>
            </w:pPr>
            <w:r w:rsidRPr="001357D0">
              <w:rPr>
                <w:rFonts w:ascii="Times New Roman" w:eastAsia="Times New Roman" w:hAnsi="Times New Roman" w:cs="Times New Roman"/>
                <w:b/>
                <w:bCs/>
                <w:color w:val="000000"/>
                <w:sz w:val="24"/>
                <w:szCs w:val="24"/>
              </w:rPr>
              <w:t>Characteristics</w:t>
            </w:r>
          </w:p>
        </w:tc>
        <w:tc>
          <w:tcPr>
            <w:tcW w:w="1923" w:type="dxa"/>
            <w:tcBorders>
              <w:top w:val="single" w:sz="4" w:space="0" w:color="auto"/>
              <w:left w:val="nil"/>
              <w:bottom w:val="single" w:sz="4" w:space="0" w:color="auto"/>
              <w:right w:val="nil"/>
            </w:tcBorders>
            <w:shd w:val="clear" w:color="auto" w:fill="auto"/>
            <w:noWrap/>
            <w:vAlign w:val="center"/>
            <w:hideMark/>
          </w:tcPr>
          <w:p w:rsidR="001357D0" w:rsidRPr="001357D0" w:rsidRDefault="001357D0" w:rsidP="001357D0">
            <w:pPr>
              <w:spacing w:after="0" w:line="240" w:lineRule="auto"/>
              <w:jc w:val="center"/>
              <w:rPr>
                <w:rFonts w:ascii="Times New Roman" w:eastAsia="Times New Roman" w:hAnsi="Times New Roman" w:cs="Times New Roman"/>
                <w:b/>
                <w:bCs/>
                <w:color w:val="000000"/>
                <w:sz w:val="24"/>
                <w:szCs w:val="24"/>
              </w:rPr>
            </w:pPr>
            <w:r w:rsidRPr="001357D0">
              <w:rPr>
                <w:rFonts w:ascii="Times New Roman" w:eastAsia="Times New Roman" w:hAnsi="Times New Roman" w:cs="Times New Roman"/>
                <w:b/>
                <w:bCs/>
                <w:color w:val="000000"/>
                <w:sz w:val="24"/>
                <w:szCs w:val="24"/>
              </w:rPr>
              <w:t>Frequency (n)</w:t>
            </w:r>
          </w:p>
        </w:tc>
        <w:tc>
          <w:tcPr>
            <w:tcW w:w="2180" w:type="dxa"/>
            <w:tcBorders>
              <w:top w:val="single" w:sz="4" w:space="0" w:color="auto"/>
              <w:left w:val="nil"/>
              <w:bottom w:val="single" w:sz="4" w:space="0" w:color="auto"/>
              <w:right w:val="nil"/>
            </w:tcBorders>
            <w:shd w:val="clear" w:color="auto" w:fill="auto"/>
            <w:noWrap/>
            <w:vAlign w:val="center"/>
            <w:hideMark/>
          </w:tcPr>
          <w:p w:rsidR="001357D0" w:rsidRPr="001357D0" w:rsidRDefault="001357D0" w:rsidP="001357D0">
            <w:pPr>
              <w:spacing w:after="0" w:line="240" w:lineRule="auto"/>
              <w:jc w:val="center"/>
              <w:rPr>
                <w:rFonts w:ascii="Times New Roman" w:eastAsia="Times New Roman" w:hAnsi="Times New Roman" w:cs="Times New Roman"/>
                <w:b/>
                <w:bCs/>
                <w:color w:val="000000"/>
                <w:sz w:val="24"/>
                <w:szCs w:val="24"/>
              </w:rPr>
            </w:pPr>
            <w:r w:rsidRPr="001357D0">
              <w:rPr>
                <w:rFonts w:ascii="Times New Roman" w:eastAsia="Times New Roman" w:hAnsi="Times New Roman" w:cs="Times New Roman"/>
                <w:b/>
                <w:bCs/>
                <w:color w:val="000000"/>
                <w:sz w:val="24"/>
                <w:szCs w:val="24"/>
              </w:rPr>
              <w:t>Percentage (%)</w:t>
            </w:r>
          </w:p>
        </w:tc>
      </w:tr>
      <w:tr w:rsidR="001357D0" w:rsidRPr="001357D0" w:rsidTr="001357D0">
        <w:trPr>
          <w:trHeight w:val="245"/>
        </w:trPr>
        <w:tc>
          <w:tcPr>
            <w:tcW w:w="1231" w:type="dxa"/>
            <w:vMerge w:val="restart"/>
            <w:tcBorders>
              <w:top w:val="nil"/>
              <w:left w:val="nil"/>
              <w:bottom w:val="nil"/>
              <w:right w:val="nil"/>
            </w:tcBorders>
            <w:shd w:val="clear" w:color="auto" w:fill="auto"/>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w:t>
            </w: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Age</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 </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 </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 xml:space="preserve">&lt;26 years </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0</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0</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 xml:space="preserve">26-35 years </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0</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0</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 xml:space="preserve">36-45 years </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5</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12.5</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 xml:space="preserve">46-55 years </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13</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32.5</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 xml:space="preserve">56-65 years </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20</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50</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 xml:space="preserve">&gt; 65 years </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5</w:t>
            </w:r>
          </w:p>
        </w:tc>
      </w:tr>
      <w:tr w:rsidR="001357D0" w:rsidRPr="001357D0" w:rsidTr="001357D0">
        <w:trPr>
          <w:trHeight w:val="245"/>
        </w:trPr>
        <w:tc>
          <w:tcPr>
            <w:tcW w:w="1231" w:type="dxa"/>
            <w:vMerge w:val="restart"/>
            <w:tcBorders>
              <w:top w:val="nil"/>
              <w:left w:val="nil"/>
              <w:bottom w:val="nil"/>
              <w:right w:val="nil"/>
            </w:tcBorders>
            <w:shd w:val="clear" w:color="auto" w:fill="auto"/>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w:t>
            </w: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Gender</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sz w:val="20"/>
                <w:szCs w:val="20"/>
              </w:rPr>
            </w:pP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Male</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23</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57.5</w:t>
            </w:r>
          </w:p>
        </w:tc>
      </w:tr>
      <w:tr w:rsidR="001357D0" w:rsidRPr="001357D0" w:rsidTr="001357D0">
        <w:trPr>
          <w:trHeight w:val="245"/>
        </w:trPr>
        <w:tc>
          <w:tcPr>
            <w:tcW w:w="1231" w:type="dxa"/>
            <w:vMerge/>
            <w:tcBorders>
              <w:top w:val="nil"/>
              <w:left w:val="nil"/>
              <w:bottom w:val="nil"/>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Female</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17</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42.5</w:t>
            </w:r>
          </w:p>
        </w:tc>
      </w:tr>
      <w:tr w:rsidR="001357D0" w:rsidRPr="001357D0" w:rsidTr="001357D0">
        <w:trPr>
          <w:trHeight w:val="245"/>
        </w:trPr>
        <w:tc>
          <w:tcPr>
            <w:tcW w:w="1231" w:type="dxa"/>
            <w:vMerge w:val="restart"/>
            <w:tcBorders>
              <w:top w:val="nil"/>
              <w:left w:val="nil"/>
              <w:bottom w:val="single" w:sz="4" w:space="0" w:color="000000"/>
              <w:right w:val="nil"/>
            </w:tcBorders>
            <w:shd w:val="clear" w:color="auto" w:fill="auto"/>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3</w:t>
            </w: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Profession</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sz w:val="20"/>
                <w:szCs w:val="20"/>
              </w:rPr>
            </w:pPr>
          </w:p>
        </w:tc>
      </w:tr>
      <w:tr w:rsidR="001357D0" w:rsidRPr="001357D0" w:rsidTr="001357D0">
        <w:trPr>
          <w:trHeight w:val="245"/>
        </w:trPr>
        <w:tc>
          <w:tcPr>
            <w:tcW w:w="1231" w:type="dxa"/>
            <w:vMerge/>
            <w:tcBorders>
              <w:top w:val="nil"/>
              <w:left w:val="nil"/>
              <w:bottom w:val="single" w:sz="4" w:space="0" w:color="000000"/>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Housewife</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11</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27.5</w:t>
            </w:r>
          </w:p>
        </w:tc>
      </w:tr>
      <w:tr w:rsidR="001357D0" w:rsidRPr="001357D0" w:rsidTr="001357D0">
        <w:trPr>
          <w:trHeight w:val="245"/>
        </w:trPr>
        <w:tc>
          <w:tcPr>
            <w:tcW w:w="1231" w:type="dxa"/>
            <w:vMerge/>
            <w:tcBorders>
              <w:top w:val="nil"/>
              <w:left w:val="nil"/>
              <w:bottom w:val="single" w:sz="4" w:space="0" w:color="000000"/>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General employees</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7</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17.5</w:t>
            </w:r>
          </w:p>
        </w:tc>
      </w:tr>
      <w:tr w:rsidR="001357D0" w:rsidRPr="001357D0" w:rsidTr="001357D0">
        <w:trPr>
          <w:trHeight w:val="245"/>
        </w:trPr>
        <w:tc>
          <w:tcPr>
            <w:tcW w:w="1231" w:type="dxa"/>
            <w:vMerge/>
            <w:tcBorders>
              <w:top w:val="nil"/>
              <w:left w:val="nil"/>
              <w:bottom w:val="single" w:sz="4" w:space="0" w:color="000000"/>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Farmer</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4</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10</w:t>
            </w:r>
          </w:p>
        </w:tc>
      </w:tr>
      <w:tr w:rsidR="001357D0" w:rsidRPr="001357D0" w:rsidTr="001357D0">
        <w:trPr>
          <w:trHeight w:val="245"/>
        </w:trPr>
        <w:tc>
          <w:tcPr>
            <w:tcW w:w="1231" w:type="dxa"/>
            <w:vMerge/>
            <w:tcBorders>
              <w:top w:val="nil"/>
              <w:left w:val="nil"/>
              <w:bottom w:val="single" w:sz="4" w:space="0" w:color="000000"/>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nil"/>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Government employees</w:t>
            </w:r>
          </w:p>
        </w:tc>
        <w:tc>
          <w:tcPr>
            <w:tcW w:w="1923"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10</w:t>
            </w:r>
          </w:p>
        </w:tc>
        <w:tc>
          <w:tcPr>
            <w:tcW w:w="2180" w:type="dxa"/>
            <w:tcBorders>
              <w:top w:val="nil"/>
              <w:left w:val="nil"/>
              <w:bottom w:val="nil"/>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25</w:t>
            </w:r>
          </w:p>
        </w:tc>
      </w:tr>
      <w:tr w:rsidR="001357D0" w:rsidRPr="001357D0" w:rsidTr="001357D0">
        <w:trPr>
          <w:trHeight w:val="245"/>
        </w:trPr>
        <w:tc>
          <w:tcPr>
            <w:tcW w:w="1231" w:type="dxa"/>
            <w:vMerge/>
            <w:tcBorders>
              <w:top w:val="nil"/>
              <w:left w:val="nil"/>
              <w:bottom w:val="single" w:sz="4" w:space="0" w:color="000000"/>
              <w:right w:val="nil"/>
            </w:tcBorders>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p>
        </w:tc>
        <w:tc>
          <w:tcPr>
            <w:tcW w:w="2924" w:type="dxa"/>
            <w:tcBorders>
              <w:top w:val="nil"/>
              <w:left w:val="nil"/>
              <w:bottom w:val="single" w:sz="4" w:space="0" w:color="auto"/>
              <w:right w:val="nil"/>
            </w:tcBorders>
            <w:shd w:val="clear" w:color="auto" w:fill="auto"/>
            <w:noWrap/>
            <w:vAlign w:val="center"/>
            <w:hideMark/>
          </w:tcPr>
          <w:p w:rsidR="001357D0" w:rsidRPr="001357D0" w:rsidRDefault="001357D0" w:rsidP="001357D0">
            <w:pPr>
              <w:spacing w:after="0" w:line="240" w:lineRule="auto"/>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rPr>
              <w:t>Retired</w:t>
            </w:r>
          </w:p>
        </w:tc>
        <w:tc>
          <w:tcPr>
            <w:tcW w:w="1923" w:type="dxa"/>
            <w:tcBorders>
              <w:top w:val="nil"/>
              <w:left w:val="nil"/>
              <w:bottom w:val="single" w:sz="4" w:space="0" w:color="auto"/>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8</w:t>
            </w:r>
          </w:p>
        </w:tc>
        <w:tc>
          <w:tcPr>
            <w:tcW w:w="2180" w:type="dxa"/>
            <w:tcBorders>
              <w:top w:val="nil"/>
              <w:left w:val="nil"/>
              <w:bottom w:val="single" w:sz="4" w:space="0" w:color="auto"/>
              <w:right w:val="nil"/>
            </w:tcBorders>
            <w:shd w:val="clear" w:color="auto" w:fill="auto"/>
            <w:vAlign w:val="center"/>
            <w:hideMark/>
          </w:tcPr>
          <w:p w:rsidR="001357D0" w:rsidRPr="001357D0" w:rsidRDefault="001357D0" w:rsidP="001357D0">
            <w:pPr>
              <w:spacing w:after="0" w:line="240" w:lineRule="auto"/>
              <w:jc w:val="center"/>
              <w:rPr>
                <w:rFonts w:ascii="Times New Roman" w:eastAsia="Times New Roman" w:hAnsi="Times New Roman" w:cs="Times New Roman"/>
                <w:color w:val="000000"/>
                <w:sz w:val="24"/>
                <w:szCs w:val="24"/>
              </w:rPr>
            </w:pPr>
            <w:r w:rsidRPr="001357D0">
              <w:rPr>
                <w:rFonts w:ascii="Times New Roman" w:eastAsia="Times New Roman" w:hAnsi="Times New Roman" w:cs="Times New Roman"/>
                <w:color w:val="000000"/>
                <w:sz w:val="24"/>
                <w:szCs w:val="24"/>
                <w:lang w:val="en-GB"/>
              </w:rPr>
              <w:t>20</w:t>
            </w:r>
          </w:p>
        </w:tc>
      </w:tr>
    </w:tbl>
    <w:p w:rsidR="001357D0" w:rsidRDefault="001357D0" w:rsidP="001357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64103" w:rsidRDefault="001357D0" w:rsidP="00544C35">
      <w:pPr>
        <w:spacing w:after="0"/>
        <w:ind w:firstLine="709"/>
        <w:jc w:val="both"/>
        <w:rPr>
          <w:rFonts w:ascii="Times New Roman" w:hAnsi="Times New Roman" w:cs="Times New Roman"/>
          <w:sz w:val="24"/>
          <w:szCs w:val="24"/>
        </w:rPr>
      </w:pPr>
      <w:r>
        <w:rPr>
          <w:rFonts w:ascii="Times New Roman" w:hAnsi="Times New Roman" w:cs="Times New Roman"/>
          <w:sz w:val="24"/>
          <w:szCs w:val="24"/>
        </w:rPr>
        <w:t>T</w:t>
      </w:r>
      <w:r w:rsidR="006B215F" w:rsidRPr="006B215F">
        <w:rPr>
          <w:rFonts w:ascii="Times New Roman" w:hAnsi="Times New Roman" w:cs="Times New Roman"/>
          <w:sz w:val="24"/>
          <w:szCs w:val="24"/>
        </w:rPr>
        <w:t>he gender with the majority of diabetes is male as much as 57.5%, while the work group with low activity has the largest percentage, namely as housewives 27.5%. This is in line with research published in The Scottish Diabetes Research Network Epidemiology from the University of Glascow which states that men are more likely to be insulin sensitive than women, thus increasing the risk of diabetes.</w:t>
      </w:r>
      <w:r w:rsidR="000F52BE">
        <w:rPr>
          <w:rFonts w:ascii="Times New Roman" w:hAnsi="Times New Roman" w:cs="Times New Roman"/>
          <w:sz w:val="24"/>
          <w:szCs w:val="24"/>
        </w:rPr>
        <w:t xml:space="preserve"> </w:t>
      </w:r>
      <w:r w:rsidR="000F52BE">
        <w:rPr>
          <w:rFonts w:ascii="Times New Roman" w:hAnsi="Times New Roman" w:cs="Times New Roman"/>
          <w:sz w:val="24"/>
          <w:szCs w:val="24"/>
        </w:rPr>
        <w:fldChar w:fldCharType="begin" w:fldLock="1"/>
      </w:r>
      <w:r w:rsidR="000F52BE">
        <w:rPr>
          <w:rFonts w:ascii="Times New Roman" w:hAnsi="Times New Roman" w:cs="Times New Roman"/>
          <w:sz w:val="24"/>
          <w:szCs w:val="24"/>
        </w:rPr>
        <w:instrText>ADDIN CSL_CITATION {"citationItems":[{"id":"ITEM-1","itemData":{"ISSN":"2302-1349","abstract":"Diabetes melitus merupakan penyakit gangguan metabolisme kronis yang di tandai peningkatan glukosa darah (Hiperglikemi). Aktivitas fisik berdampak terhadap aksi insulin pada orang yang beresiko diabetes melitus. Kurangnya aktivitas merupakan slah satu faktor yang ikut berperan yang meyebabkan resistensi insulin pada diabetes mellitus tipe II dan Pola makan adalah tingkah laku manusia atau sekelompok manusia dalam memenuhi kebutuhan akan makan yang meliputi sikap, kepercayaan dan pilihan makanan. Tujuan penelitian ini untuk menganalisa hubungan pola aktivitas fisik dan pola makan dengan kadar gula darah pada pasien diabetes melitus tipe II di Poli Penyakit Dalam Rumah Sakit Pancaran Kasih GMIM Manado. Metode penelitian yang di gunakan yaitu deskriptif analitik dengan rancangan cross sectional. Teknik pengambilan sampel pada penelitian ini yaitu purposive sampling dengan jumlah 75 sampel. Pengumpulan data dilakukan dengan menggunakan kuesioner. Pengolahan data menggunakan program SPSS dengan uji korelasi pearson dengan tingkat kemaknaan 95% (α = 0,05). Hasil penelitian dengan menggunakan analisis korelasi pearson menunjukkan terdapat hubungan pola aktivitas fisik dan pola makan dengan kadar gula darah (p=0,000). Kesimpulan terdapat hubungan pola aktivitas fisik dan pola makan dengan kadar gula darah pada pasien diabetes melitus tipe II di Poli Penyakit Dalam Rumah Sakit Pancaran Kasih GMIM Manado.","author":[{"dropping-particle":"","family":"Dolongseda","given":"FV","non-dropping-particle":"","parse-names":false,"suffix":""},{"dropping-particle":"","family":"Masi","given":"GNM","non-dropping-particle":"","parse-names":false,"suffix":""},{"dropping-particle":"","family":"Bataha","given":"YB","non-dropping-particle":"","parse-names":false,"suffix":""}],"container-title":"Jurnal Keperawatan UNSRAT","id":"ITEM-1","issue":"1","issued":{"date-parts":[["2017"]]},"page":"1-8","title":"Hubungan Pola Aktivitas Fisik Dan Pola Makan Dengan Kadar Gula Darah Pada Pasien Diabetes Melitus Tipe Ii Di Poli Penyakit Dalam Rumah Sakit Pancaran Kasih Gmim Manado","type":"article-journal","volume":"5"},"uris":["http://www.mendeley.com/documents/?uuid=cd78dd54-46fb-446f-8ded-900a01b4bb68"]}],"mendeley":{"formattedCitation":"(Dolongseda et al., 2017)","manualFormatting":"Dolongseda et al., (2017)","plainTextFormattedCitation":"(Dolongseda et al., 2017)","previouslyFormattedCitation":"(Dolongseda et al., 2017)"},"properties":{"noteIndex":0},"schema":"https://github.com/citation-style-language/schema/raw/master/csl-citation.json"}</w:instrText>
      </w:r>
      <w:r w:rsidR="000F52BE">
        <w:rPr>
          <w:rFonts w:ascii="Times New Roman" w:hAnsi="Times New Roman" w:cs="Times New Roman"/>
          <w:sz w:val="24"/>
          <w:szCs w:val="24"/>
        </w:rPr>
        <w:fldChar w:fldCharType="separate"/>
      </w:r>
      <w:r w:rsidR="000F52BE" w:rsidRPr="000F52BE">
        <w:rPr>
          <w:rFonts w:ascii="Times New Roman" w:hAnsi="Times New Roman" w:cs="Times New Roman"/>
          <w:noProof/>
          <w:sz w:val="24"/>
          <w:szCs w:val="24"/>
        </w:rPr>
        <w:t xml:space="preserve">Dolongseda et al., </w:t>
      </w:r>
      <w:r w:rsidR="000F52BE">
        <w:rPr>
          <w:rFonts w:ascii="Times New Roman" w:hAnsi="Times New Roman" w:cs="Times New Roman"/>
          <w:noProof/>
          <w:sz w:val="24"/>
          <w:szCs w:val="24"/>
        </w:rPr>
        <w:t>(</w:t>
      </w:r>
      <w:r w:rsidR="000F52BE" w:rsidRPr="000F52BE">
        <w:rPr>
          <w:rFonts w:ascii="Times New Roman" w:hAnsi="Times New Roman" w:cs="Times New Roman"/>
          <w:noProof/>
          <w:sz w:val="24"/>
          <w:szCs w:val="24"/>
        </w:rPr>
        <w:t>2017)</w:t>
      </w:r>
      <w:r w:rsidR="000F52BE">
        <w:rPr>
          <w:rFonts w:ascii="Times New Roman" w:hAnsi="Times New Roman" w:cs="Times New Roman"/>
          <w:sz w:val="24"/>
          <w:szCs w:val="24"/>
        </w:rPr>
        <w:fldChar w:fldCharType="end"/>
      </w:r>
      <w:r w:rsidR="006B215F" w:rsidRPr="006B215F">
        <w:rPr>
          <w:rFonts w:ascii="Times New Roman" w:hAnsi="Times New Roman" w:cs="Times New Roman"/>
          <w:sz w:val="24"/>
          <w:szCs w:val="24"/>
        </w:rPr>
        <w:t xml:space="preserve"> concluded that there is a relationship between physical activity patterns and blood sugar</w:t>
      </w:r>
      <w:r w:rsidR="00AD3F9A">
        <w:rPr>
          <w:rFonts w:ascii="Times New Roman" w:hAnsi="Times New Roman" w:cs="Times New Roman"/>
          <w:sz w:val="24"/>
          <w:szCs w:val="24"/>
        </w:rPr>
        <w:t xml:space="preserve"> levels in Type II DM patients.</w:t>
      </w:r>
    </w:p>
    <w:p w:rsidR="00B64103" w:rsidRPr="00E43054" w:rsidRDefault="00057772" w:rsidP="00544C35">
      <w:pPr>
        <w:spacing w:after="0"/>
        <w:ind w:firstLine="720"/>
        <w:jc w:val="both"/>
        <w:rPr>
          <w:rFonts w:ascii="Times New Roman" w:hAnsi="Times New Roman" w:cs="Times New Roman"/>
          <w:color w:val="000000" w:themeColor="text1"/>
          <w:sz w:val="24"/>
          <w:szCs w:val="24"/>
        </w:rPr>
      </w:pPr>
      <w:r w:rsidRPr="006B215F">
        <w:rPr>
          <w:rFonts w:ascii="Times New Roman" w:hAnsi="Times New Roman" w:cs="Times New Roman"/>
          <w:sz w:val="24"/>
          <w:szCs w:val="24"/>
        </w:rPr>
        <w:t xml:space="preserve">Based on the measurement of blood sugar levels when using a glucometer to 40 respondents before the treatment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Pr="006B215F">
        <w:rPr>
          <w:rFonts w:ascii="Times New Roman" w:hAnsi="Times New Roman" w:cs="Times New Roman"/>
          <w:sz w:val="24"/>
          <w:szCs w:val="24"/>
        </w:rPr>
        <w:t xml:space="preserve"> consumption was carried out, it was found that respondents who had </w:t>
      </w:r>
      <w:r>
        <w:rPr>
          <w:rFonts w:ascii="Times New Roman" w:hAnsi="Times New Roman" w:cs="Times New Roman"/>
          <w:sz w:val="24"/>
          <w:szCs w:val="24"/>
        </w:rPr>
        <w:t>normal</w:t>
      </w:r>
      <w:r w:rsidRPr="006B215F">
        <w:rPr>
          <w:rFonts w:ascii="Times New Roman" w:hAnsi="Times New Roman" w:cs="Times New Roman"/>
          <w:sz w:val="24"/>
          <w:szCs w:val="24"/>
        </w:rPr>
        <w:t>bl</w:t>
      </w:r>
      <w:r>
        <w:rPr>
          <w:rFonts w:ascii="Times New Roman" w:hAnsi="Times New Roman" w:cs="Times New Roman"/>
          <w:sz w:val="24"/>
          <w:szCs w:val="24"/>
        </w:rPr>
        <w:t xml:space="preserve">ood sugar levels were 0%, and </w:t>
      </w:r>
      <w:r w:rsidRPr="006B215F">
        <w:rPr>
          <w:rFonts w:ascii="Times New Roman" w:hAnsi="Times New Roman" w:cs="Times New Roman"/>
          <w:sz w:val="24"/>
          <w:szCs w:val="24"/>
        </w:rPr>
        <w:t>respondents who had mild blood sugar levels were 62.5%</w:t>
      </w:r>
      <w:r>
        <w:rPr>
          <w:rFonts w:ascii="Times New Roman" w:hAnsi="Times New Roman" w:cs="Times New Roman"/>
          <w:sz w:val="24"/>
          <w:szCs w:val="24"/>
        </w:rPr>
        <w:t xml:space="preserve"> and then 37.5% for severe blood sugar level</w:t>
      </w:r>
      <w:r w:rsidR="00796B81">
        <w:rPr>
          <w:rFonts w:ascii="Times New Roman" w:hAnsi="Times New Roman" w:cs="Times New Roman"/>
          <w:sz w:val="24"/>
          <w:szCs w:val="24"/>
        </w:rPr>
        <w:t xml:space="preserve"> (Table </w:t>
      </w:r>
      <w:r w:rsidR="001357D0">
        <w:rPr>
          <w:rFonts w:ascii="Times New Roman" w:hAnsi="Times New Roman" w:cs="Times New Roman"/>
          <w:sz w:val="24"/>
          <w:szCs w:val="24"/>
        </w:rPr>
        <w:t>2</w:t>
      </w:r>
      <w:r w:rsidR="00796B81">
        <w:rPr>
          <w:rFonts w:ascii="Times New Roman" w:hAnsi="Times New Roman" w:cs="Times New Roman"/>
          <w:sz w:val="24"/>
          <w:szCs w:val="24"/>
        </w:rPr>
        <w:t>).</w:t>
      </w:r>
      <w:r w:rsidR="00C61BB2">
        <w:rPr>
          <w:rFonts w:ascii="Times New Roman" w:hAnsi="Times New Roman" w:cs="Times New Roman"/>
          <w:sz w:val="24"/>
          <w:szCs w:val="24"/>
        </w:rPr>
        <w:t xml:space="preserve"> T</w:t>
      </w:r>
      <w:r w:rsidR="00C61BB2" w:rsidRPr="006B215F">
        <w:rPr>
          <w:rFonts w:ascii="Times New Roman" w:hAnsi="Times New Roman" w:cs="Times New Roman"/>
          <w:sz w:val="24"/>
          <w:szCs w:val="24"/>
        </w:rPr>
        <w:t xml:space="preserve">he results of measuring blood sugar levels using a glucometer after the treatment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05024F" w:rsidRPr="006B215F">
        <w:rPr>
          <w:rFonts w:ascii="Times New Roman" w:hAnsi="Times New Roman" w:cs="Times New Roman"/>
          <w:sz w:val="24"/>
          <w:szCs w:val="24"/>
        </w:rPr>
        <w:t xml:space="preserve"> </w:t>
      </w:r>
      <w:r w:rsidR="00C61BB2" w:rsidRPr="006B215F">
        <w:rPr>
          <w:rFonts w:ascii="Times New Roman" w:hAnsi="Times New Roman" w:cs="Times New Roman"/>
          <w:sz w:val="24"/>
          <w:szCs w:val="24"/>
        </w:rPr>
        <w:t xml:space="preserve">consumption above showed a decrease in blood sugar levels after being given the action on the seventh day. So that the table states that there is a decrease in GDS which is on a weight scale which originally had 15 respondents (37.5%) down to 9 respondents (22.5%) </w:t>
      </w:r>
      <w:r w:rsidR="00C61BB2">
        <w:rPr>
          <w:rFonts w:ascii="Times New Roman" w:hAnsi="Times New Roman" w:cs="Times New Roman"/>
          <w:sz w:val="24"/>
          <w:szCs w:val="24"/>
        </w:rPr>
        <w:t>and the normal category became 11 respondents (2</w:t>
      </w:r>
      <w:r w:rsidR="00C61BB2" w:rsidRPr="006B215F">
        <w:rPr>
          <w:rFonts w:ascii="Times New Roman" w:hAnsi="Times New Roman" w:cs="Times New Roman"/>
          <w:sz w:val="24"/>
          <w:szCs w:val="24"/>
        </w:rPr>
        <w:t>7.5%) where previously there were no respondents who had normal GDS levels.</w:t>
      </w:r>
      <w:r w:rsidR="0005024F">
        <w:rPr>
          <w:rFonts w:ascii="Times New Roman" w:hAnsi="Times New Roman" w:cs="Times New Roman"/>
          <w:sz w:val="24"/>
          <w:szCs w:val="24"/>
        </w:rPr>
        <w:t xml:space="preserve">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896B9D">
        <w:rPr>
          <w:rFonts w:ascii="Times New Roman" w:hAnsi="Times New Roman" w:cs="Times New Roman"/>
          <w:color w:val="000000" w:themeColor="text1"/>
          <w:sz w:val="24"/>
          <w:szCs w:val="24"/>
        </w:rPr>
        <w:t xml:space="preserve"> sp</w:t>
      </w:r>
      <w:r w:rsidR="001357D0" w:rsidRPr="00E43054">
        <w:rPr>
          <w:rFonts w:ascii="Times New Roman" w:hAnsi="Times New Roman" w:cs="Times New Roman"/>
          <w:color w:val="000000" w:themeColor="text1"/>
          <w:sz w:val="24"/>
          <w:szCs w:val="24"/>
        </w:rPr>
        <w:t xml:space="preserve">extract can be used to control blood glucose and at the same time lower hematocrit concentrations that generally accompany </w:t>
      </w:r>
      <w:r w:rsidR="00923A0A" w:rsidRPr="00E43054">
        <w:rPr>
          <w:rFonts w:ascii="Times New Roman" w:hAnsi="Times New Roman" w:cs="Times New Roman"/>
          <w:color w:val="000000" w:themeColor="text1"/>
          <w:sz w:val="24"/>
          <w:szCs w:val="24"/>
        </w:rPr>
        <w:t>DM</w:t>
      </w:r>
      <w:r w:rsidR="001357D0" w:rsidRPr="00E43054">
        <w:rPr>
          <w:rFonts w:ascii="Times New Roman" w:hAnsi="Times New Roman" w:cs="Times New Roman"/>
          <w:color w:val="000000" w:themeColor="text1"/>
          <w:sz w:val="24"/>
          <w:szCs w:val="24"/>
        </w:rPr>
        <w:t xml:space="preserve"> </w:t>
      </w:r>
      <w:r w:rsidR="000F52BE">
        <w:rPr>
          <w:rFonts w:ascii="Times New Roman" w:hAnsi="Times New Roman" w:cs="Times New Roman"/>
          <w:color w:val="000000" w:themeColor="text1"/>
          <w:sz w:val="24"/>
          <w:szCs w:val="24"/>
        </w:rPr>
        <w:fldChar w:fldCharType="begin" w:fldLock="1"/>
      </w:r>
      <w:r w:rsidR="000F52BE">
        <w:rPr>
          <w:rFonts w:ascii="Times New Roman" w:hAnsi="Times New Roman" w:cs="Times New Roman"/>
          <w:color w:val="000000" w:themeColor="text1"/>
          <w:sz w:val="24"/>
          <w:szCs w:val="24"/>
        </w:rPr>
        <w:instrText>ADDIN CSL_CITATION {"citationItems":[{"id":"ITEM-1","itemData":{"author":[{"dropping-particle":"","family":"Susanto","given":"Djap Hadi","non-dropping-particle":"","parse-names":false,"suffix":""},{"dropping-particle":"","family":"Kartika","given":"Ronald Winardi","non-dropping-particle":"","parse-names":false,"suffix":""},{"dropping-particle":"","family":"Heng","given":"Pamela Hendra","non-dropping-particle":"","parse-names":false,"suffix":""},{"dropping-particle":"","family":"Santoso","given":"Adit Widodo","non-dropping-particle":"","parse-names":false,"suffix":""},{"dropping-particle":"","family":"Lopulalan","given":"Maria VB","non-dropping-particle":"","parse-names":false,"suffix":""},{"dropping-particle":"","family":"Wijaya","given":"Angelina","non-dropping-particle":"","parse-names":false,"suffix":""}],"container-title":"Jurnal Ilmiah Kedokteran Wijaya Kusuma","id":"ITEM-1","issue":"2","issued":{"date-parts":[["2020"]]},"page":"209-217","title":"Pengaruh Ekstrak Undur-undur ( Myrmeleon sp ) terhadap Glukosa Darah dan Hematokrit pada Tikus Diabetes","type":"article-journal","volume":"9"},"uris":["http://www.mendeley.com/documents/?uuid=c499206e-253d-4692-a12a-c73ef1011249"]}],"mendeley":{"formattedCitation":"(Susanto et al., 2020)","plainTextFormattedCitation":"(Susanto et al., 2020)","previouslyFormattedCitation":"(Susanto et al., 2020)"},"properties":{"noteIndex":0},"schema":"https://github.com/citation-style-language/schema/raw/master/csl-citation.json"}</w:instrText>
      </w:r>
      <w:r w:rsidR="000F52BE">
        <w:rPr>
          <w:rFonts w:ascii="Times New Roman" w:hAnsi="Times New Roman" w:cs="Times New Roman"/>
          <w:color w:val="000000" w:themeColor="text1"/>
          <w:sz w:val="24"/>
          <w:szCs w:val="24"/>
        </w:rPr>
        <w:fldChar w:fldCharType="separate"/>
      </w:r>
      <w:r w:rsidR="000F52BE" w:rsidRPr="000F52BE">
        <w:rPr>
          <w:rFonts w:ascii="Times New Roman" w:hAnsi="Times New Roman" w:cs="Times New Roman"/>
          <w:noProof/>
          <w:color w:val="000000" w:themeColor="text1"/>
          <w:sz w:val="24"/>
          <w:szCs w:val="24"/>
        </w:rPr>
        <w:t>(Susanto et al., 2020)</w:t>
      </w:r>
      <w:r w:rsidR="000F52BE">
        <w:rPr>
          <w:rFonts w:ascii="Times New Roman" w:hAnsi="Times New Roman" w:cs="Times New Roman"/>
          <w:color w:val="000000" w:themeColor="text1"/>
          <w:sz w:val="24"/>
          <w:szCs w:val="24"/>
        </w:rPr>
        <w:fldChar w:fldCharType="end"/>
      </w:r>
      <w:r w:rsidR="001357D0" w:rsidRPr="00E43054">
        <w:rPr>
          <w:rFonts w:ascii="Times New Roman" w:hAnsi="Times New Roman" w:cs="Times New Roman"/>
          <w:color w:val="000000" w:themeColor="text1"/>
          <w:sz w:val="24"/>
          <w:szCs w:val="24"/>
        </w:rPr>
        <w:t>.</w:t>
      </w:r>
      <w:r w:rsidR="007F596A" w:rsidRPr="00E43054">
        <w:rPr>
          <w:rFonts w:ascii="Times New Roman" w:hAnsi="Times New Roman" w:cs="Times New Roman"/>
          <w:color w:val="000000" w:themeColor="text1"/>
          <w:sz w:val="24"/>
          <w:szCs w:val="24"/>
        </w:rPr>
        <w:t xml:space="preserve"> Based on the results of </w:t>
      </w:r>
      <w:r w:rsidR="0062205D" w:rsidRPr="00E43054">
        <w:rPr>
          <w:rFonts w:ascii="Times New Roman" w:hAnsi="Times New Roman" w:cs="Times New Roman"/>
          <w:color w:val="000000" w:themeColor="text1"/>
          <w:sz w:val="24"/>
          <w:szCs w:val="24"/>
        </w:rPr>
        <w:t>the research by</w:t>
      </w:r>
      <w:r w:rsidR="000F52BE">
        <w:rPr>
          <w:rFonts w:ascii="Times New Roman" w:hAnsi="Times New Roman" w:cs="Times New Roman"/>
          <w:color w:val="000000" w:themeColor="text1"/>
          <w:sz w:val="24"/>
          <w:szCs w:val="24"/>
        </w:rPr>
        <w:t xml:space="preserve"> </w:t>
      </w:r>
      <w:r w:rsidR="000F52BE">
        <w:rPr>
          <w:rFonts w:ascii="Times New Roman" w:hAnsi="Times New Roman" w:cs="Times New Roman"/>
          <w:color w:val="000000" w:themeColor="text1"/>
          <w:sz w:val="24"/>
          <w:szCs w:val="24"/>
        </w:rPr>
        <w:fldChar w:fldCharType="begin" w:fldLock="1"/>
      </w:r>
      <w:r w:rsidR="000F52BE">
        <w:rPr>
          <w:rFonts w:ascii="Times New Roman" w:hAnsi="Times New Roman" w:cs="Times New Roman"/>
          <w:color w:val="000000" w:themeColor="text1"/>
          <w:sz w:val="24"/>
          <w:szCs w:val="24"/>
        </w:rPr>
        <w:instrText>ADDIN CSL_CITATION {"citationItems":[{"id":"ITEM-1","itemData":{"DOI":"10.21776/ub.jpacr.2017.006.03.338","ISSN":"23024690","author":[{"dropping-particle":"","family":"Muadifah","given":"Afidatul","non-dropping-particle":"","parse-names":false,"suffix":""},{"dropping-particle":"","family":"Sulistyarti","given":"Hermin","non-dropping-particle":"","parse-names":false,"suffix":""},{"dropping-particle":"","family":"Prasetyawan","given":"Sasangka","non-dropping-particle":"","parse-names":false,"suffix":""}],"container-title":"The Journal of Pure and Applied Chemistry Research","id":"ITEM-1","issue":"3","issued":{"date-parts":[["2017"]]},"page":"196-206","title":"Liquid Chromatography for Analysis of Metformin in Myrmeleon sp.","type":"article-journal","volume":"6"},"uris":["http://www.mendeley.com/documents/?uuid=5c5202ad-b026-4cc1-a1f9-10fb0c2e1a0a"]}],"mendeley":{"formattedCitation":"(Muadifah et al., 2017)","manualFormatting":"Muadifah et al., (2017)","plainTextFormattedCitation":"(Muadifah et al., 2017)","previouslyFormattedCitation":"(Muadifah et al., 2017)"},"properties":{"noteIndex":0},"schema":"https://github.com/citation-style-language/schema/raw/master/csl-citation.json"}</w:instrText>
      </w:r>
      <w:r w:rsidR="000F52BE">
        <w:rPr>
          <w:rFonts w:ascii="Times New Roman" w:hAnsi="Times New Roman" w:cs="Times New Roman"/>
          <w:color w:val="000000" w:themeColor="text1"/>
          <w:sz w:val="24"/>
          <w:szCs w:val="24"/>
        </w:rPr>
        <w:fldChar w:fldCharType="separate"/>
      </w:r>
      <w:r w:rsidR="000F52BE" w:rsidRPr="000F52BE">
        <w:rPr>
          <w:rFonts w:ascii="Times New Roman" w:hAnsi="Times New Roman" w:cs="Times New Roman"/>
          <w:noProof/>
          <w:color w:val="000000" w:themeColor="text1"/>
          <w:sz w:val="24"/>
          <w:szCs w:val="24"/>
        </w:rPr>
        <w:t xml:space="preserve">Muadifah et al., </w:t>
      </w:r>
      <w:r w:rsidR="000F52BE">
        <w:rPr>
          <w:rFonts w:ascii="Times New Roman" w:hAnsi="Times New Roman" w:cs="Times New Roman"/>
          <w:noProof/>
          <w:color w:val="000000" w:themeColor="text1"/>
          <w:sz w:val="24"/>
          <w:szCs w:val="24"/>
        </w:rPr>
        <w:t>(</w:t>
      </w:r>
      <w:r w:rsidR="000F52BE" w:rsidRPr="000F52BE">
        <w:rPr>
          <w:rFonts w:ascii="Times New Roman" w:hAnsi="Times New Roman" w:cs="Times New Roman"/>
          <w:noProof/>
          <w:color w:val="000000" w:themeColor="text1"/>
          <w:sz w:val="24"/>
          <w:szCs w:val="24"/>
        </w:rPr>
        <w:t>2017)</w:t>
      </w:r>
      <w:r w:rsidR="000F52BE">
        <w:rPr>
          <w:rFonts w:ascii="Times New Roman" w:hAnsi="Times New Roman" w:cs="Times New Roman"/>
          <w:color w:val="000000" w:themeColor="text1"/>
          <w:sz w:val="24"/>
          <w:szCs w:val="24"/>
        </w:rPr>
        <w:fldChar w:fldCharType="end"/>
      </w:r>
      <w:r w:rsidR="000F52BE">
        <w:rPr>
          <w:rFonts w:ascii="Times New Roman" w:hAnsi="Times New Roman" w:cs="Times New Roman"/>
          <w:color w:val="000000" w:themeColor="text1"/>
          <w:sz w:val="24"/>
          <w:szCs w:val="24"/>
        </w:rPr>
        <w:t xml:space="preserve"> </w:t>
      </w:r>
      <w:r w:rsidR="007F596A" w:rsidRPr="00E43054">
        <w:rPr>
          <w:rFonts w:ascii="Times New Roman" w:hAnsi="Times New Roman" w:cs="Times New Roman"/>
          <w:color w:val="000000" w:themeColor="text1"/>
          <w:sz w:val="24"/>
          <w:szCs w:val="24"/>
        </w:rPr>
        <w:t xml:space="preserve">using the LC-UV method that the extract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7F596A" w:rsidRPr="00E43054">
        <w:rPr>
          <w:rFonts w:ascii="Times New Roman" w:hAnsi="Times New Roman" w:cs="Times New Roman"/>
          <w:color w:val="000000" w:themeColor="text1"/>
          <w:sz w:val="24"/>
          <w:szCs w:val="24"/>
        </w:rPr>
        <w:t>. contained metformin, one of compounds for hyperglycemia treatment type 2-diabetes</w:t>
      </w:r>
      <w:r w:rsidR="0062205D" w:rsidRPr="00E43054">
        <w:rPr>
          <w:rFonts w:ascii="Times New Roman" w:hAnsi="Times New Roman" w:cs="Times New Roman"/>
          <w:color w:val="000000" w:themeColor="text1"/>
          <w:sz w:val="24"/>
          <w:szCs w:val="24"/>
        </w:rPr>
        <w:t>. In addition, the results of research by</w:t>
      </w:r>
      <w:r w:rsidR="000F52BE">
        <w:rPr>
          <w:rFonts w:ascii="Times New Roman" w:hAnsi="Times New Roman" w:cs="Times New Roman"/>
          <w:color w:val="000000" w:themeColor="text1"/>
          <w:sz w:val="24"/>
          <w:szCs w:val="24"/>
        </w:rPr>
        <w:t xml:space="preserve"> </w:t>
      </w:r>
      <w:r w:rsidR="000F52BE">
        <w:rPr>
          <w:rFonts w:ascii="Times New Roman" w:hAnsi="Times New Roman" w:cs="Times New Roman"/>
          <w:color w:val="000000" w:themeColor="text1"/>
          <w:sz w:val="24"/>
          <w:szCs w:val="24"/>
        </w:rPr>
        <w:fldChar w:fldCharType="begin" w:fldLock="1"/>
      </w:r>
      <w:r w:rsidR="000F52BE">
        <w:rPr>
          <w:rFonts w:ascii="Times New Roman" w:hAnsi="Times New Roman" w:cs="Times New Roman"/>
          <w:color w:val="000000" w:themeColor="text1"/>
          <w:sz w:val="24"/>
          <w:szCs w:val="24"/>
        </w:rPr>
        <w:instrText>ADDIN CSL_CITATION {"citationItems":[{"id":"ITEM-1","itemData":{"ISSN":"19854668","abstract":"Many herbs have been developed as functional foods, drugs and supplements for lowering blood glucose in diabetic patients. Diabetes mellitus (DM) is a metabolic disorder characterized by hyperglycemia and distinctive complications. Traditionally, both bitter gourd (Momordica charantia L.) and ant lion (Myrmeleon sp.) larvae were consumed by some people for treating DM. In the study, a combination of bitter gourd and ant lion larvae was evaluated for its antidiabetic effect in insulin resistance rats, a model of type 2 DM. In the study, insulin resistance condition in rat was induced by intraperitonial injections of human long acting insulin 0,5IU/kgBW three times daily for 15 days. A single treatment was per orally administered in the rats at the day 16. Blood glucose levels before and one hour after drug administration were determined and compared using pair-sample t test. The combination of bitter gourd and ant lion larvae (75:25w/w percentage) exhibited hypoglycaemic effect by 32.20±2.57%. Metformin, an antidiabetic agent with extrapancreatic action, decreased the blood glucose level by 39.29±2.96%. The result indicated that the combination of bitter gourd and ant lion larvae is potential to be developed as a blood glucose-lowering agent for diabetic patients.","author":[{"dropping-particle":"","family":"Mujahid","given":"Muhammad Zahrul","non-dropping-particle":"","parse-names":false,"suffix":""},{"dropping-particle":"","family":"Agistia","given":"Dany Dwi","non-dropping-particle":"","parse-names":false,"suffix":""},{"dropping-particle":"","family":"Sa'adah","given":"Miftahus","non-dropping-particle":"","parse-names":false,"suffix":""},{"dropping-particle":"","family":"Nugroho","given":"Agung Endro","non-dropping-particle":"","parse-names":false,"suffix":""}],"container-title":"International Food Research Journal","id":"ITEM-1","issue":"2","issued":{"date-parts":[["2013"]]},"page":"851-855","title":"A combination of bitter gourd ethanolic extract with ant lion larvae aqueous extract for a blood glucose-lowering agent","type":"article-journal","volume":"20"},"uris":["http://www.mendeley.com/documents/?uuid=30d16aa5-ca4e-4399-be05-97bbdf905212"]}],"mendeley":{"formattedCitation":"(Mujahid et al., 2013)","manualFormatting":"Mujahid et al., (2013)","plainTextFormattedCitation":"(Mujahid et al., 2013)","previouslyFormattedCitation":"(Mujahid et al., 2013)"},"properties":{"noteIndex":0},"schema":"https://github.com/citation-style-language/schema/raw/master/csl-citation.json"}</w:instrText>
      </w:r>
      <w:r w:rsidR="000F52BE">
        <w:rPr>
          <w:rFonts w:ascii="Times New Roman" w:hAnsi="Times New Roman" w:cs="Times New Roman"/>
          <w:color w:val="000000" w:themeColor="text1"/>
          <w:sz w:val="24"/>
          <w:szCs w:val="24"/>
        </w:rPr>
        <w:fldChar w:fldCharType="separate"/>
      </w:r>
      <w:r w:rsidR="000F52BE" w:rsidRPr="000F52BE">
        <w:rPr>
          <w:rFonts w:ascii="Times New Roman" w:hAnsi="Times New Roman" w:cs="Times New Roman"/>
          <w:noProof/>
          <w:color w:val="000000" w:themeColor="text1"/>
          <w:sz w:val="24"/>
          <w:szCs w:val="24"/>
        </w:rPr>
        <w:t xml:space="preserve">Mujahid et al., </w:t>
      </w:r>
      <w:r w:rsidR="000F52BE">
        <w:rPr>
          <w:rFonts w:ascii="Times New Roman" w:hAnsi="Times New Roman" w:cs="Times New Roman"/>
          <w:noProof/>
          <w:color w:val="000000" w:themeColor="text1"/>
          <w:sz w:val="24"/>
          <w:szCs w:val="24"/>
        </w:rPr>
        <w:t>(</w:t>
      </w:r>
      <w:r w:rsidR="000F52BE" w:rsidRPr="000F52BE">
        <w:rPr>
          <w:rFonts w:ascii="Times New Roman" w:hAnsi="Times New Roman" w:cs="Times New Roman"/>
          <w:noProof/>
          <w:color w:val="000000" w:themeColor="text1"/>
          <w:sz w:val="24"/>
          <w:szCs w:val="24"/>
        </w:rPr>
        <w:t>2013)</w:t>
      </w:r>
      <w:r w:rsidR="000F52BE">
        <w:rPr>
          <w:rFonts w:ascii="Times New Roman" w:hAnsi="Times New Roman" w:cs="Times New Roman"/>
          <w:color w:val="000000" w:themeColor="text1"/>
          <w:sz w:val="24"/>
          <w:szCs w:val="24"/>
        </w:rPr>
        <w:fldChar w:fldCharType="end"/>
      </w:r>
      <w:r w:rsidR="0062205D" w:rsidRPr="00E43054">
        <w:rPr>
          <w:rFonts w:ascii="Times New Roman" w:hAnsi="Times New Roman" w:cs="Times New Roman"/>
          <w:color w:val="000000" w:themeColor="text1"/>
          <w:sz w:val="24"/>
          <w:szCs w:val="24"/>
        </w:rPr>
        <w:t xml:space="preserve"> also explain that, the combination of bitter gourd and ant lion larvae (75:25 w/w percentage) exhibited hypoglycaemic </w:t>
      </w:r>
      <w:r w:rsidR="0062205D" w:rsidRPr="00E43054">
        <w:rPr>
          <w:rFonts w:ascii="Times New Roman" w:hAnsi="Times New Roman" w:cs="Times New Roman"/>
          <w:color w:val="000000" w:themeColor="text1"/>
          <w:sz w:val="24"/>
          <w:szCs w:val="24"/>
        </w:rPr>
        <w:lastRenderedPageBreak/>
        <w:t>effect by 32.20+2.57%. Metformin, an antidiabetic agent with extrapancreatic action, decreased the blood glucose level by 39.29+2.96%.</w:t>
      </w:r>
    </w:p>
    <w:p w:rsidR="00796B81" w:rsidRDefault="00796B81" w:rsidP="00796B81">
      <w:pPr>
        <w:ind w:left="993" w:hanging="993"/>
        <w:jc w:val="both"/>
        <w:rPr>
          <w:rFonts w:ascii="Times New Roman" w:hAnsi="Times New Roman" w:cs="Times New Roman"/>
          <w:sz w:val="24"/>
          <w:szCs w:val="24"/>
        </w:rPr>
      </w:pPr>
      <w:r w:rsidRPr="00796B81">
        <w:rPr>
          <w:rFonts w:ascii="Times New Roman" w:hAnsi="Times New Roman" w:cs="Times New Roman"/>
          <w:sz w:val="24"/>
          <w:szCs w:val="24"/>
        </w:rPr>
        <w:t xml:space="preserve">Table </w:t>
      </w:r>
      <w:r w:rsidR="001357D0">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796B81">
        <w:rPr>
          <w:rFonts w:ascii="Times New Roman" w:hAnsi="Times New Roman" w:cs="Times New Roman"/>
          <w:sz w:val="24"/>
          <w:szCs w:val="24"/>
        </w:rPr>
        <w:t xml:space="preserve">Distribution of respondents based on Glucose levels prior to and after consuming </w:t>
      </w:r>
      <w:r w:rsidRPr="000F52BE">
        <w:rPr>
          <w:rFonts w:ascii="Times New Roman" w:hAnsi="Times New Roman" w:cs="Times New Roman"/>
          <w:i/>
          <w:sz w:val="24"/>
          <w:szCs w:val="24"/>
        </w:rPr>
        <w:t>Myrmelleon</w:t>
      </w:r>
      <w:r w:rsidRPr="00796B81">
        <w:rPr>
          <w:rFonts w:ascii="Times New Roman" w:hAnsi="Times New Roman" w:cs="Times New Roman"/>
          <w:sz w:val="24"/>
          <w:szCs w:val="24"/>
        </w:rPr>
        <w:t xml:space="preserve"> (N = 40)</w:t>
      </w:r>
      <w:r w:rsidR="00896B9D">
        <w:rPr>
          <w:rFonts w:ascii="Times New Roman" w:hAnsi="Times New Roman" w:cs="Times New Roman"/>
          <w:sz w:val="24"/>
          <w:szCs w:val="24"/>
        </w:rPr>
        <w:t xml:space="preserve"> </w:t>
      </w:r>
    </w:p>
    <w:tbl>
      <w:tblPr>
        <w:tblW w:w="9100" w:type="dxa"/>
        <w:tblInd w:w="108" w:type="dxa"/>
        <w:tblLook w:val="04A0" w:firstRow="1" w:lastRow="0" w:firstColumn="1" w:lastColumn="0" w:noHBand="0" w:noVBand="1"/>
      </w:tblPr>
      <w:tblGrid>
        <w:gridCol w:w="3555"/>
        <w:gridCol w:w="2133"/>
        <w:gridCol w:w="2381"/>
        <w:gridCol w:w="1031"/>
      </w:tblGrid>
      <w:tr w:rsidR="00796B81" w:rsidRPr="00796B81" w:rsidTr="00122AAB">
        <w:trPr>
          <w:trHeight w:val="229"/>
        </w:trPr>
        <w:tc>
          <w:tcPr>
            <w:tcW w:w="3555" w:type="dxa"/>
            <w:vMerge w:val="restart"/>
            <w:tcBorders>
              <w:top w:val="single" w:sz="4" w:space="0" w:color="auto"/>
              <w:left w:val="nil"/>
              <w:bottom w:val="single" w:sz="4" w:space="0" w:color="000000"/>
              <w:right w:val="nil"/>
            </w:tcBorders>
            <w:shd w:val="clear" w:color="auto" w:fill="auto"/>
            <w:noWrap/>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0"/>
                <w:szCs w:val="20"/>
              </w:rPr>
            </w:pPr>
            <w:r w:rsidRPr="00796B81">
              <w:rPr>
                <w:rFonts w:ascii="Times New Roman" w:eastAsia="Times New Roman" w:hAnsi="Times New Roman" w:cs="Times New Roman"/>
                <w:color w:val="000000"/>
                <w:sz w:val="24"/>
                <w:szCs w:val="20"/>
              </w:rPr>
              <w:t>Glucose levels</w:t>
            </w:r>
          </w:p>
        </w:tc>
        <w:tc>
          <w:tcPr>
            <w:tcW w:w="2133" w:type="dxa"/>
            <w:tcBorders>
              <w:top w:val="single" w:sz="4" w:space="0" w:color="auto"/>
              <w:left w:val="nil"/>
              <w:bottom w:val="single" w:sz="4" w:space="0" w:color="auto"/>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color w:val="000000"/>
                <w:sz w:val="20"/>
                <w:szCs w:val="20"/>
              </w:rPr>
            </w:pPr>
            <w:r w:rsidRPr="008A04C7">
              <w:rPr>
                <w:rFonts w:ascii="Times New Roman" w:eastAsia="Times New Roman" w:hAnsi="Times New Roman" w:cs="Times New Roman"/>
                <w:color w:val="000000"/>
                <w:sz w:val="20"/>
                <w:szCs w:val="20"/>
              </w:rPr>
              <w:t>Before</w:t>
            </w:r>
            <w:r w:rsidRPr="00796B81">
              <w:rPr>
                <w:rFonts w:ascii="Times New Roman" w:eastAsia="Times New Roman" w:hAnsi="Times New Roman" w:cs="Times New Roman"/>
                <w:color w:val="000000"/>
                <w:sz w:val="20"/>
                <w:szCs w:val="20"/>
              </w:rPr>
              <w:t xml:space="preserve"> </w:t>
            </w:r>
            <w:r w:rsidR="00796B81" w:rsidRPr="00796B81">
              <w:rPr>
                <w:rFonts w:ascii="Times New Roman" w:eastAsia="Times New Roman" w:hAnsi="Times New Roman" w:cs="Times New Roman"/>
                <w:color w:val="000000"/>
                <w:sz w:val="20"/>
                <w:szCs w:val="20"/>
              </w:rPr>
              <w:t xml:space="preserve">to consuming </w:t>
            </w:r>
            <w:r w:rsidR="00896B9D" w:rsidRPr="00896B9D">
              <w:rPr>
                <w:rFonts w:ascii="Times New Roman" w:eastAsia="Times New Roman" w:hAnsi="Times New Roman" w:cs="Times New Roman"/>
                <w:i/>
                <w:color w:val="000000"/>
                <w:sz w:val="20"/>
                <w:szCs w:val="20"/>
              </w:rPr>
              <w:t xml:space="preserve">Myrmeleon </w:t>
            </w:r>
            <w:r w:rsidR="00896B9D" w:rsidRPr="00896B9D">
              <w:rPr>
                <w:rFonts w:ascii="Times New Roman" w:eastAsia="Times New Roman" w:hAnsi="Times New Roman" w:cs="Times New Roman"/>
                <w:color w:val="000000"/>
                <w:sz w:val="20"/>
                <w:szCs w:val="20"/>
              </w:rPr>
              <w:t>sp</w:t>
            </w:r>
          </w:p>
        </w:tc>
        <w:tc>
          <w:tcPr>
            <w:tcW w:w="2381" w:type="dxa"/>
            <w:tcBorders>
              <w:top w:val="single" w:sz="4" w:space="0" w:color="auto"/>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0"/>
                <w:szCs w:val="20"/>
              </w:rPr>
            </w:pPr>
            <w:r w:rsidRPr="00796B81">
              <w:rPr>
                <w:rFonts w:ascii="Times New Roman" w:eastAsia="Times New Roman" w:hAnsi="Times New Roman" w:cs="Times New Roman"/>
                <w:color w:val="000000"/>
                <w:sz w:val="20"/>
                <w:szCs w:val="20"/>
              </w:rPr>
              <w:t xml:space="preserve">After consuming </w:t>
            </w:r>
            <w:r w:rsidR="00896B9D" w:rsidRPr="00896B9D">
              <w:rPr>
                <w:rFonts w:ascii="Times New Roman" w:eastAsia="Times New Roman" w:hAnsi="Times New Roman" w:cs="Times New Roman"/>
                <w:i/>
                <w:color w:val="000000"/>
                <w:sz w:val="20"/>
                <w:szCs w:val="20"/>
              </w:rPr>
              <w:t xml:space="preserve">Myrmeleon </w:t>
            </w:r>
            <w:r w:rsidR="00896B9D" w:rsidRPr="00896B9D">
              <w:rPr>
                <w:rFonts w:ascii="Times New Roman" w:eastAsia="Times New Roman" w:hAnsi="Times New Roman" w:cs="Times New Roman"/>
                <w:color w:val="000000"/>
                <w:sz w:val="20"/>
                <w:szCs w:val="20"/>
              </w:rPr>
              <w:t>sp</w:t>
            </w:r>
            <w:r w:rsidRPr="00896B9D">
              <w:rPr>
                <w:rFonts w:ascii="Times New Roman" w:eastAsia="Times New Roman" w:hAnsi="Times New Roman" w:cs="Times New Roman"/>
                <w:color w:val="000000"/>
                <w:sz w:val="20"/>
                <w:szCs w:val="20"/>
              </w:rPr>
              <w:t xml:space="preserve"> </w:t>
            </w:r>
          </w:p>
        </w:tc>
        <w:tc>
          <w:tcPr>
            <w:tcW w:w="1031" w:type="dxa"/>
            <w:vMerge w:val="restart"/>
            <w:tcBorders>
              <w:top w:val="single" w:sz="4" w:space="0" w:color="auto"/>
              <w:left w:val="nil"/>
              <w:bottom w:val="single" w:sz="4" w:space="0" w:color="000000"/>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0"/>
                <w:szCs w:val="20"/>
              </w:rPr>
            </w:pPr>
            <w:r w:rsidRPr="00796B81">
              <w:rPr>
                <w:rFonts w:ascii="Times New Roman" w:eastAsia="Times New Roman" w:hAnsi="Times New Roman" w:cs="Times New Roman"/>
                <w:color w:val="000000"/>
                <w:sz w:val="24"/>
                <w:szCs w:val="20"/>
              </w:rPr>
              <w:t>p Value</w:t>
            </w:r>
          </w:p>
        </w:tc>
      </w:tr>
      <w:tr w:rsidR="00796B81" w:rsidRPr="00796B81" w:rsidTr="00122AAB">
        <w:trPr>
          <w:trHeight w:val="229"/>
        </w:trPr>
        <w:tc>
          <w:tcPr>
            <w:tcW w:w="3555" w:type="dxa"/>
            <w:vMerge/>
            <w:tcBorders>
              <w:top w:val="single" w:sz="4" w:space="0" w:color="auto"/>
              <w:left w:val="nil"/>
              <w:bottom w:val="single" w:sz="4" w:space="0" w:color="000000"/>
              <w:right w:val="nil"/>
            </w:tcBorders>
            <w:vAlign w:val="center"/>
            <w:hideMark/>
          </w:tcPr>
          <w:p w:rsidR="00796B81" w:rsidRPr="00796B81" w:rsidRDefault="00796B81" w:rsidP="00796B81">
            <w:pPr>
              <w:spacing w:after="0" w:line="240" w:lineRule="auto"/>
              <w:rPr>
                <w:rFonts w:ascii="Times New Roman" w:eastAsia="Times New Roman" w:hAnsi="Times New Roman" w:cs="Times New Roman"/>
                <w:color w:val="000000"/>
                <w:sz w:val="20"/>
                <w:szCs w:val="20"/>
              </w:rPr>
            </w:pPr>
          </w:p>
        </w:tc>
        <w:tc>
          <w:tcPr>
            <w:tcW w:w="2133" w:type="dxa"/>
            <w:tcBorders>
              <w:top w:val="nil"/>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0"/>
              </w:rPr>
            </w:pPr>
            <w:r w:rsidRPr="00796B81">
              <w:rPr>
                <w:rFonts w:ascii="Times New Roman" w:eastAsia="Times New Roman" w:hAnsi="Times New Roman" w:cs="Times New Roman"/>
                <w:color w:val="000000"/>
                <w:sz w:val="24"/>
                <w:szCs w:val="20"/>
              </w:rPr>
              <w:t>n (%)</w:t>
            </w:r>
          </w:p>
        </w:tc>
        <w:tc>
          <w:tcPr>
            <w:tcW w:w="2381" w:type="dxa"/>
            <w:tcBorders>
              <w:top w:val="nil"/>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0"/>
              </w:rPr>
            </w:pPr>
            <w:r w:rsidRPr="00796B81">
              <w:rPr>
                <w:rFonts w:ascii="Times New Roman" w:eastAsia="Times New Roman" w:hAnsi="Times New Roman" w:cs="Times New Roman"/>
                <w:color w:val="000000"/>
                <w:sz w:val="24"/>
                <w:szCs w:val="20"/>
              </w:rPr>
              <w:t>n (%)</w:t>
            </w:r>
          </w:p>
        </w:tc>
        <w:tc>
          <w:tcPr>
            <w:tcW w:w="1031" w:type="dxa"/>
            <w:vMerge/>
            <w:tcBorders>
              <w:top w:val="single" w:sz="4" w:space="0" w:color="auto"/>
              <w:left w:val="nil"/>
              <w:bottom w:val="single" w:sz="4" w:space="0" w:color="000000"/>
              <w:right w:val="nil"/>
            </w:tcBorders>
            <w:vAlign w:val="center"/>
            <w:hideMark/>
          </w:tcPr>
          <w:p w:rsidR="00796B81" w:rsidRPr="00796B81" w:rsidRDefault="00796B81" w:rsidP="00796B81">
            <w:pPr>
              <w:spacing w:after="0" w:line="240" w:lineRule="auto"/>
              <w:rPr>
                <w:rFonts w:ascii="Times New Roman" w:eastAsia="Times New Roman" w:hAnsi="Times New Roman" w:cs="Times New Roman"/>
                <w:color w:val="000000"/>
                <w:sz w:val="20"/>
                <w:szCs w:val="20"/>
              </w:rPr>
            </w:pPr>
          </w:p>
        </w:tc>
      </w:tr>
      <w:tr w:rsidR="00796B81" w:rsidRPr="00796B81" w:rsidTr="00122AAB">
        <w:trPr>
          <w:trHeight w:val="240"/>
        </w:trPr>
        <w:tc>
          <w:tcPr>
            <w:tcW w:w="3555"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both"/>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lang w:val="en-GB"/>
              </w:rPr>
              <w:t>Normal</w:t>
            </w:r>
          </w:p>
        </w:tc>
        <w:tc>
          <w:tcPr>
            <w:tcW w:w="2133"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0"/>
                <w:szCs w:val="20"/>
              </w:rPr>
            </w:pPr>
          </w:p>
        </w:tc>
        <w:tc>
          <w:tcPr>
            <w:tcW w:w="238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c>
          <w:tcPr>
            <w:tcW w:w="103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0"/>
                <w:szCs w:val="20"/>
              </w:rPr>
            </w:pPr>
          </w:p>
        </w:tc>
      </w:tr>
      <w:tr w:rsidR="00796B81" w:rsidRPr="00796B81" w:rsidTr="00122AAB">
        <w:trPr>
          <w:trHeight w:val="240"/>
        </w:trPr>
        <w:tc>
          <w:tcPr>
            <w:tcW w:w="3555"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6B81" w:rsidRPr="00796B81">
              <w:rPr>
                <w:rFonts w:ascii="Times New Roman" w:eastAsia="Times New Roman" w:hAnsi="Times New Roman" w:cs="Times New Roman"/>
                <w:color w:val="000000"/>
                <w:sz w:val="24"/>
                <w:szCs w:val="24"/>
              </w:rPr>
              <w:t>100mg/dl – 180 mg/dl</w:t>
            </w:r>
          </w:p>
        </w:tc>
        <w:tc>
          <w:tcPr>
            <w:tcW w:w="2133"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0"/>
              </w:rPr>
              <w:t>0 (0%)</w:t>
            </w:r>
          </w:p>
        </w:tc>
        <w:tc>
          <w:tcPr>
            <w:tcW w:w="2381"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sz w:val="20"/>
                <w:szCs w:val="20"/>
              </w:rPr>
            </w:pPr>
            <w:r w:rsidRPr="00796B81">
              <w:rPr>
                <w:rFonts w:ascii="Times New Roman" w:eastAsia="Times New Roman" w:hAnsi="Times New Roman" w:cs="Times New Roman"/>
                <w:color w:val="000000"/>
                <w:sz w:val="24"/>
                <w:szCs w:val="24"/>
              </w:rPr>
              <w:t>11</w:t>
            </w:r>
            <w:r w:rsidRPr="00796B81">
              <w:rPr>
                <w:rFonts w:ascii="Times New Roman" w:eastAsia="Times New Roman" w:hAnsi="Times New Roman" w:cs="Times New Roman"/>
                <w:color w:val="000000"/>
                <w:sz w:val="20"/>
                <w:szCs w:val="20"/>
              </w:rPr>
              <w:t xml:space="preserve"> (</w:t>
            </w:r>
            <w:r w:rsidRPr="00796B81">
              <w:rPr>
                <w:rFonts w:ascii="Times New Roman" w:eastAsia="Times New Roman" w:hAnsi="Times New Roman" w:cs="Times New Roman"/>
                <w:color w:val="000000"/>
                <w:sz w:val="24"/>
                <w:szCs w:val="24"/>
              </w:rPr>
              <w:t>27.5</w:t>
            </w:r>
            <w:r w:rsidRPr="00796B81">
              <w:rPr>
                <w:rFonts w:ascii="Times New Roman" w:eastAsia="Times New Roman" w:hAnsi="Times New Roman" w:cs="Times New Roman"/>
                <w:color w:val="000000"/>
                <w:sz w:val="20"/>
                <w:szCs w:val="20"/>
              </w:rPr>
              <w:t>%)</w:t>
            </w:r>
          </w:p>
        </w:tc>
        <w:tc>
          <w:tcPr>
            <w:tcW w:w="1031"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sz w:val="20"/>
                <w:szCs w:val="20"/>
              </w:rPr>
            </w:pPr>
            <w:r w:rsidRPr="00796B81">
              <w:rPr>
                <w:rFonts w:ascii="Times New Roman" w:eastAsia="Times New Roman" w:hAnsi="Times New Roman" w:cs="Times New Roman"/>
                <w:color w:val="000000"/>
                <w:sz w:val="24"/>
                <w:szCs w:val="20"/>
              </w:rPr>
              <w:t>0.000</w:t>
            </w:r>
          </w:p>
        </w:tc>
      </w:tr>
      <w:tr w:rsidR="00796B81" w:rsidRPr="00796B81" w:rsidTr="00122AAB">
        <w:trPr>
          <w:trHeight w:val="240"/>
        </w:trPr>
        <w:tc>
          <w:tcPr>
            <w:tcW w:w="3555"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both"/>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lang w:val="en-GB"/>
              </w:rPr>
              <w:t>Mild</w:t>
            </w:r>
          </w:p>
        </w:tc>
        <w:tc>
          <w:tcPr>
            <w:tcW w:w="2133"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c>
          <w:tcPr>
            <w:tcW w:w="238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c>
          <w:tcPr>
            <w:tcW w:w="103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r>
      <w:tr w:rsidR="00796B81" w:rsidRPr="00796B81" w:rsidTr="00122AAB">
        <w:trPr>
          <w:trHeight w:val="240"/>
        </w:trPr>
        <w:tc>
          <w:tcPr>
            <w:tcW w:w="3555"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6B81" w:rsidRPr="00796B81">
              <w:rPr>
                <w:rFonts w:ascii="Times New Roman" w:eastAsia="Times New Roman" w:hAnsi="Times New Roman" w:cs="Times New Roman"/>
                <w:color w:val="000000"/>
                <w:sz w:val="24"/>
                <w:szCs w:val="24"/>
              </w:rPr>
              <w:t>200mg/dl – 350mg/dl</w:t>
            </w:r>
          </w:p>
        </w:tc>
        <w:tc>
          <w:tcPr>
            <w:tcW w:w="2133"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rPr>
              <w:t>25</w:t>
            </w:r>
            <w:r w:rsidRPr="00796B81">
              <w:rPr>
                <w:rFonts w:ascii="Times New Roman" w:eastAsia="Times New Roman" w:hAnsi="Times New Roman" w:cs="Times New Roman"/>
                <w:color w:val="000000"/>
                <w:sz w:val="20"/>
                <w:szCs w:val="20"/>
              </w:rPr>
              <w:t xml:space="preserve"> (</w:t>
            </w:r>
            <w:r w:rsidRPr="00796B81">
              <w:rPr>
                <w:rFonts w:ascii="Times New Roman" w:eastAsia="Times New Roman" w:hAnsi="Times New Roman" w:cs="Times New Roman"/>
                <w:color w:val="000000"/>
                <w:sz w:val="24"/>
                <w:szCs w:val="24"/>
              </w:rPr>
              <w:t>62.5%)</w:t>
            </w:r>
          </w:p>
        </w:tc>
        <w:tc>
          <w:tcPr>
            <w:tcW w:w="2381" w:type="dxa"/>
            <w:tcBorders>
              <w:top w:val="nil"/>
              <w:left w:val="nil"/>
              <w:bottom w:val="nil"/>
              <w:right w:val="nil"/>
            </w:tcBorders>
            <w:shd w:val="clear" w:color="auto" w:fill="auto"/>
            <w:vAlign w:val="center"/>
            <w:hideMark/>
          </w:tcPr>
          <w:p w:rsidR="00796B81" w:rsidRPr="00796B81" w:rsidRDefault="008A04C7" w:rsidP="00796B81">
            <w:pPr>
              <w:spacing w:after="0" w:line="240" w:lineRule="auto"/>
              <w:jc w:val="center"/>
              <w:rPr>
                <w:rFonts w:ascii="Times New Roman" w:eastAsia="Times New Roman" w:hAnsi="Times New Roman" w:cs="Times New Roman"/>
                <w:sz w:val="20"/>
                <w:szCs w:val="20"/>
              </w:rPr>
            </w:pPr>
            <w:r w:rsidRPr="00796B81">
              <w:rPr>
                <w:rFonts w:ascii="Times New Roman" w:eastAsia="Times New Roman" w:hAnsi="Times New Roman" w:cs="Times New Roman"/>
                <w:color w:val="000000"/>
                <w:sz w:val="24"/>
                <w:szCs w:val="24"/>
              </w:rPr>
              <w:t>20</w:t>
            </w:r>
            <w:r w:rsidRPr="00796B81">
              <w:rPr>
                <w:rFonts w:ascii="Times New Roman" w:eastAsia="Times New Roman" w:hAnsi="Times New Roman" w:cs="Times New Roman"/>
                <w:color w:val="000000"/>
                <w:sz w:val="20"/>
                <w:szCs w:val="20"/>
              </w:rPr>
              <w:t xml:space="preserve"> (</w:t>
            </w:r>
            <w:r w:rsidRPr="00796B81">
              <w:rPr>
                <w:rFonts w:ascii="Times New Roman" w:eastAsia="Times New Roman" w:hAnsi="Times New Roman" w:cs="Times New Roman"/>
                <w:color w:val="000000"/>
                <w:sz w:val="24"/>
                <w:szCs w:val="24"/>
              </w:rPr>
              <w:t>50</w:t>
            </w:r>
            <w:r w:rsidRPr="00796B81">
              <w:rPr>
                <w:rFonts w:ascii="Times New Roman" w:eastAsia="Times New Roman" w:hAnsi="Times New Roman" w:cs="Times New Roman"/>
                <w:color w:val="000000"/>
                <w:sz w:val="20"/>
                <w:szCs w:val="20"/>
              </w:rPr>
              <w:t>%)</w:t>
            </w:r>
          </w:p>
        </w:tc>
        <w:tc>
          <w:tcPr>
            <w:tcW w:w="103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sz w:val="20"/>
                <w:szCs w:val="20"/>
              </w:rPr>
            </w:pPr>
          </w:p>
        </w:tc>
      </w:tr>
      <w:tr w:rsidR="00796B81" w:rsidRPr="00796B81" w:rsidTr="00122AAB">
        <w:trPr>
          <w:trHeight w:val="240"/>
        </w:trPr>
        <w:tc>
          <w:tcPr>
            <w:tcW w:w="3555"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both"/>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lang w:val="en-GB"/>
              </w:rPr>
              <w:t>Severe</w:t>
            </w:r>
          </w:p>
        </w:tc>
        <w:tc>
          <w:tcPr>
            <w:tcW w:w="2133"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c>
          <w:tcPr>
            <w:tcW w:w="238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c>
          <w:tcPr>
            <w:tcW w:w="1031" w:type="dxa"/>
            <w:tcBorders>
              <w:top w:val="nil"/>
              <w:left w:val="nil"/>
              <w:bottom w:val="nil"/>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p>
        </w:tc>
      </w:tr>
      <w:tr w:rsidR="00796B81" w:rsidRPr="00796B81" w:rsidTr="00122AAB">
        <w:trPr>
          <w:trHeight w:val="240"/>
        </w:trPr>
        <w:tc>
          <w:tcPr>
            <w:tcW w:w="3555" w:type="dxa"/>
            <w:tcBorders>
              <w:top w:val="nil"/>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rPr>
              <w:t>&gt;350mg/dl</w:t>
            </w:r>
          </w:p>
        </w:tc>
        <w:tc>
          <w:tcPr>
            <w:tcW w:w="2133" w:type="dxa"/>
            <w:tcBorders>
              <w:top w:val="nil"/>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rPr>
              <w:t> </w:t>
            </w:r>
            <w:r w:rsidR="008A04C7" w:rsidRPr="00796B81">
              <w:rPr>
                <w:rFonts w:ascii="Times New Roman" w:eastAsia="Times New Roman" w:hAnsi="Times New Roman" w:cs="Times New Roman"/>
                <w:color w:val="000000"/>
                <w:sz w:val="24"/>
                <w:szCs w:val="24"/>
              </w:rPr>
              <w:t>15</w:t>
            </w:r>
            <w:r w:rsidR="008A04C7" w:rsidRPr="00796B81">
              <w:rPr>
                <w:rFonts w:ascii="Times New Roman" w:eastAsia="Times New Roman" w:hAnsi="Times New Roman" w:cs="Times New Roman"/>
                <w:color w:val="000000"/>
                <w:sz w:val="20"/>
                <w:szCs w:val="20"/>
              </w:rPr>
              <w:t xml:space="preserve"> (</w:t>
            </w:r>
            <w:r w:rsidR="008A04C7" w:rsidRPr="00796B81">
              <w:rPr>
                <w:rFonts w:ascii="Times New Roman" w:eastAsia="Times New Roman" w:hAnsi="Times New Roman" w:cs="Times New Roman"/>
                <w:color w:val="000000"/>
                <w:sz w:val="24"/>
                <w:szCs w:val="24"/>
              </w:rPr>
              <w:t>37.5</w:t>
            </w:r>
            <w:r w:rsidR="008A04C7" w:rsidRPr="00796B81">
              <w:rPr>
                <w:rFonts w:ascii="Times New Roman" w:eastAsia="Times New Roman" w:hAnsi="Times New Roman" w:cs="Times New Roman"/>
                <w:color w:val="000000"/>
                <w:sz w:val="20"/>
                <w:szCs w:val="20"/>
              </w:rPr>
              <w:t>%)</w:t>
            </w:r>
          </w:p>
        </w:tc>
        <w:tc>
          <w:tcPr>
            <w:tcW w:w="2381" w:type="dxa"/>
            <w:tcBorders>
              <w:top w:val="nil"/>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4"/>
                <w:szCs w:val="24"/>
              </w:rPr>
            </w:pPr>
            <w:r w:rsidRPr="00796B81">
              <w:rPr>
                <w:rFonts w:ascii="Times New Roman" w:eastAsia="Times New Roman" w:hAnsi="Times New Roman" w:cs="Times New Roman"/>
                <w:color w:val="000000"/>
                <w:sz w:val="24"/>
                <w:szCs w:val="24"/>
              </w:rPr>
              <w:t> </w:t>
            </w:r>
            <w:r w:rsidR="008A04C7" w:rsidRPr="00796B81">
              <w:rPr>
                <w:rFonts w:ascii="Times New Roman" w:eastAsia="Times New Roman" w:hAnsi="Times New Roman" w:cs="Times New Roman"/>
                <w:color w:val="000000"/>
                <w:sz w:val="24"/>
                <w:szCs w:val="24"/>
              </w:rPr>
              <w:t>9 (22.5%)</w:t>
            </w:r>
          </w:p>
        </w:tc>
        <w:tc>
          <w:tcPr>
            <w:tcW w:w="1031" w:type="dxa"/>
            <w:tcBorders>
              <w:top w:val="nil"/>
              <w:left w:val="nil"/>
              <w:bottom w:val="single" w:sz="4" w:space="0" w:color="auto"/>
              <w:right w:val="nil"/>
            </w:tcBorders>
            <w:shd w:val="clear" w:color="auto" w:fill="auto"/>
            <w:vAlign w:val="center"/>
            <w:hideMark/>
          </w:tcPr>
          <w:p w:rsidR="00796B81" w:rsidRPr="00796B81" w:rsidRDefault="00796B81" w:rsidP="00796B81">
            <w:pPr>
              <w:spacing w:after="0" w:line="240" w:lineRule="auto"/>
              <w:jc w:val="center"/>
              <w:rPr>
                <w:rFonts w:ascii="Times New Roman" w:eastAsia="Times New Roman" w:hAnsi="Times New Roman" w:cs="Times New Roman"/>
                <w:color w:val="000000"/>
                <w:sz w:val="20"/>
                <w:szCs w:val="20"/>
              </w:rPr>
            </w:pPr>
            <w:r w:rsidRPr="00796B81">
              <w:rPr>
                <w:rFonts w:ascii="Times New Roman" w:eastAsia="Times New Roman" w:hAnsi="Times New Roman" w:cs="Times New Roman"/>
                <w:color w:val="000000"/>
                <w:sz w:val="20"/>
                <w:szCs w:val="20"/>
              </w:rPr>
              <w:t> </w:t>
            </w:r>
          </w:p>
        </w:tc>
      </w:tr>
    </w:tbl>
    <w:p w:rsidR="003F3A07" w:rsidRDefault="008A04C7" w:rsidP="00544C35">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B215F" w:rsidRPr="006B215F">
        <w:rPr>
          <w:rFonts w:ascii="Times New Roman" w:hAnsi="Times New Roman" w:cs="Times New Roman"/>
          <w:sz w:val="24"/>
          <w:szCs w:val="24"/>
        </w:rPr>
        <w:br/>
        <w:t xml:space="preserve">          Based on the measurement of blood sugar levels when using a glucometer to 40 respondents before the treatment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6B215F" w:rsidRPr="006B215F">
        <w:rPr>
          <w:rFonts w:ascii="Times New Roman" w:hAnsi="Times New Roman" w:cs="Times New Roman"/>
          <w:sz w:val="24"/>
          <w:szCs w:val="24"/>
        </w:rPr>
        <w:t xml:space="preserve"> consumption was carried out, it was found that respondents who had mild blood sugar levels were 62.5%. Even though it is mild, a person with blood sugar levels above 180mg / dl is still diagnosed with Diabetes </w:t>
      </w:r>
      <w:r w:rsidR="00896B9D">
        <w:rPr>
          <w:rFonts w:ascii="Times New Roman" w:hAnsi="Times New Roman" w:cs="Times New Roman"/>
          <w:sz w:val="24"/>
          <w:szCs w:val="24"/>
        </w:rPr>
        <w:t>m</w:t>
      </w:r>
      <w:r w:rsidR="006B215F" w:rsidRPr="006B215F">
        <w:rPr>
          <w:rFonts w:ascii="Times New Roman" w:hAnsi="Times New Roman" w:cs="Times New Roman"/>
          <w:sz w:val="24"/>
          <w:szCs w:val="24"/>
        </w:rPr>
        <w:t xml:space="preserve">ellitus, which will have harmful secondary effects on the body including complications that lead to a more severe condition. Meanwhile, the percentage of respondents who had a heavy blood sugar level of 37.5% would certainly be a destructive threat to the respondent's condition. The state of high sugar levels above normal continuously (chronically) must be addressed immediately to get back to normal controlled </w:t>
      </w:r>
      <w:r w:rsidR="005C36A1">
        <w:rPr>
          <w:rFonts w:ascii="Times New Roman" w:hAnsi="Times New Roman" w:cs="Times New Roman"/>
          <w:sz w:val="24"/>
          <w:szCs w:val="24"/>
        </w:rPr>
        <w:t>blood sugar conditions. T</w:t>
      </w:r>
      <w:r w:rsidR="006B215F" w:rsidRPr="006B215F">
        <w:rPr>
          <w:rFonts w:ascii="Times New Roman" w:hAnsi="Times New Roman" w:cs="Times New Roman"/>
          <w:sz w:val="24"/>
          <w:szCs w:val="24"/>
        </w:rPr>
        <w:t xml:space="preserve">he results of measuring blood sugar levels using a glucometer after the treatment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544C35" w:rsidRPr="006B215F">
        <w:rPr>
          <w:rFonts w:ascii="Times New Roman" w:hAnsi="Times New Roman" w:cs="Times New Roman"/>
          <w:sz w:val="24"/>
          <w:szCs w:val="24"/>
        </w:rPr>
        <w:t xml:space="preserve"> </w:t>
      </w:r>
      <w:r w:rsidR="006B215F" w:rsidRPr="006B215F">
        <w:rPr>
          <w:rFonts w:ascii="Times New Roman" w:hAnsi="Times New Roman" w:cs="Times New Roman"/>
          <w:sz w:val="24"/>
          <w:szCs w:val="24"/>
        </w:rPr>
        <w:t>consumption above showed a decrease in blood sugar levels after being given the action on the seventh day. This means that there is a significant difference between GDS measurements before and after the consumpti</w:t>
      </w:r>
      <w:r w:rsidR="00544C35">
        <w:rPr>
          <w:rFonts w:ascii="Times New Roman" w:hAnsi="Times New Roman" w:cs="Times New Roman"/>
          <w:sz w:val="24"/>
          <w:szCs w:val="24"/>
        </w:rPr>
        <w:t xml:space="preserve">on of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003F3A07">
        <w:rPr>
          <w:rFonts w:ascii="Times New Roman" w:hAnsi="Times New Roman" w:cs="Times New Roman"/>
          <w:sz w:val="24"/>
          <w:szCs w:val="24"/>
        </w:rPr>
        <w:t>.</w:t>
      </w:r>
    </w:p>
    <w:p w:rsidR="00544C35" w:rsidRDefault="003F3A07" w:rsidP="00B231C8">
      <w:pPr>
        <w:spacing w:after="0"/>
        <w:jc w:val="both"/>
        <w:rPr>
          <w:rFonts w:ascii="Times New Roman" w:hAnsi="Times New Roman" w:cs="Times New Roman"/>
          <w:sz w:val="24"/>
          <w:szCs w:val="24"/>
        </w:rPr>
      </w:pPr>
      <w:r w:rsidRPr="005C36A1">
        <w:rPr>
          <w:rFonts w:ascii="Times New Roman" w:hAnsi="Times New Roman" w:cs="Times New Roman"/>
          <w:b/>
          <w:sz w:val="24"/>
          <w:szCs w:val="24"/>
        </w:rPr>
        <w:t>Conclusion</w:t>
      </w:r>
    </w:p>
    <w:p w:rsidR="001809D3" w:rsidRDefault="00544C35" w:rsidP="00B231C8">
      <w:pPr>
        <w:spacing w:after="0"/>
        <w:ind w:firstLine="709"/>
        <w:jc w:val="both"/>
        <w:rPr>
          <w:rFonts w:ascii="Times New Roman" w:hAnsi="Times New Roman" w:cs="Times New Roman"/>
          <w:sz w:val="24"/>
          <w:szCs w:val="24"/>
        </w:rPr>
      </w:pPr>
      <w:r w:rsidRPr="006B215F">
        <w:rPr>
          <w:rFonts w:ascii="Times New Roman" w:hAnsi="Times New Roman" w:cs="Times New Roman"/>
          <w:sz w:val="24"/>
          <w:szCs w:val="24"/>
        </w:rPr>
        <w:t>The majority of people with diabetes are at a degenerative age before reaching the old elderly period</w:t>
      </w:r>
      <w:r>
        <w:rPr>
          <w:rFonts w:ascii="Times New Roman" w:hAnsi="Times New Roman" w:cs="Times New Roman"/>
          <w:sz w:val="24"/>
          <w:szCs w:val="24"/>
        </w:rPr>
        <w:t xml:space="preserve">. </w:t>
      </w:r>
      <w:r w:rsidRPr="00544C35">
        <w:rPr>
          <w:rFonts w:ascii="Times New Roman" w:hAnsi="Times New Roman" w:cs="Times New Roman"/>
          <w:sz w:val="24"/>
          <w:szCs w:val="24"/>
        </w:rPr>
        <w:t>The gender with the majority of diabetes is male as much as 57.5%, while the work group with low activity has the largest percentage, namely as housewives 27.5%. The treatment of Myrmellleon consumption showed that  there is a decrease in GDS which is on a weight scale which originally had 15 respondents (37.5%) down to 9 respondents (22.5%) and the normal category became 11 respondents (27.5%) where previously there were no respondents who had normal GDS levels</w:t>
      </w:r>
      <w:r>
        <w:rPr>
          <w:rFonts w:ascii="Times New Roman" w:hAnsi="Times New Roman" w:cs="Times New Roman"/>
          <w:sz w:val="24"/>
          <w:szCs w:val="24"/>
        </w:rPr>
        <w:t xml:space="preserve">. </w:t>
      </w:r>
      <w:r w:rsidRPr="00544C35">
        <w:rPr>
          <w:rFonts w:ascii="Times New Roman" w:hAnsi="Times New Roman" w:cs="Times New Roman"/>
          <w:sz w:val="24"/>
          <w:szCs w:val="24"/>
        </w:rPr>
        <w:t>So that it can be concluded that</w:t>
      </w:r>
      <w:r w:rsidRPr="006B215F">
        <w:rPr>
          <w:rFonts w:ascii="Times New Roman" w:hAnsi="Times New Roman" w:cs="Times New Roman"/>
          <w:sz w:val="24"/>
          <w:szCs w:val="24"/>
        </w:rPr>
        <w:t xml:space="preserve"> </w:t>
      </w:r>
      <w:r w:rsidR="00896B9D" w:rsidRPr="000F52BE">
        <w:rPr>
          <w:rFonts w:ascii="Times New Roman" w:hAnsi="Times New Roman" w:cs="Times New Roman"/>
          <w:i/>
          <w:sz w:val="24"/>
          <w:szCs w:val="24"/>
        </w:rPr>
        <w:t>Myrmeleon</w:t>
      </w:r>
      <w:r w:rsidR="00896B9D" w:rsidRPr="000F52BE">
        <w:rPr>
          <w:rFonts w:ascii="Times New Roman" w:hAnsi="Times New Roman" w:cs="Times New Roman"/>
          <w:sz w:val="24"/>
          <w:szCs w:val="24"/>
        </w:rPr>
        <w:t xml:space="preserve"> </w:t>
      </w:r>
      <w:r w:rsidR="00896B9D">
        <w:rPr>
          <w:rFonts w:ascii="Times New Roman" w:hAnsi="Times New Roman" w:cs="Times New Roman"/>
          <w:sz w:val="24"/>
          <w:szCs w:val="24"/>
        </w:rPr>
        <w:t>sp</w:t>
      </w:r>
      <w:r w:rsidRPr="006B215F">
        <w:rPr>
          <w:rFonts w:ascii="Times New Roman" w:hAnsi="Times New Roman" w:cs="Times New Roman"/>
          <w:sz w:val="24"/>
          <w:szCs w:val="24"/>
        </w:rPr>
        <w:t xml:space="preserve"> </w:t>
      </w:r>
      <w:r w:rsidR="006B215F" w:rsidRPr="006B215F">
        <w:rPr>
          <w:rFonts w:ascii="Times New Roman" w:hAnsi="Times New Roman" w:cs="Times New Roman"/>
          <w:sz w:val="24"/>
          <w:szCs w:val="24"/>
        </w:rPr>
        <w:t xml:space="preserve">is effective in reducing blood sugar levels in people with </w:t>
      </w:r>
      <w:r w:rsidRPr="006B215F">
        <w:rPr>
          <w:rFonts w:ascii="Times New Roman" w:hAnsi="Times New Roman" w:cs="Times New Roman"/>
          <w:sz w:val="24"/>
          <w:szCs w:val="24"/>
        </w:rPr>
        <w:t>diabetes mellitus</w:t>
      </w:r>
      <w:r w:rsidR="006B215F" w:rsidRPr="006B215F">
        <w:rPr>
          <w:rFonts w:ascii="Times New Roman" w:hAnsi="Times New Roman" w:cs="Times New Roman"/>
          <w:sz w:val="24"/>
          <w:szCs w:val="24"/>
        </w:rPr>
        <w:t>. </w:t>
      </w:r>
    </w:p>
    <w:p w:rsidR="003F3A07" w:rsidRDefault="003F3A07" w:rsidP="003F3A07">
      <w:pPr>
        <w:jc w:val="both"/>
        <w:rPr>
          <w:rFonts w:ascii="Times New Roman" w:hAnsi="Times New Roman" w:cs="Times New Roman"/>
          <w:sz w:val="24"/>
          <w:szCs w:val="24"/>
        </w:rPr>
      </w:pPr>
    </w:p>
    <w:p w:rsidR="00C67AF0" w:rsidRDefault="00C67AF0" w:rsidP="00C67AF0">
      <w:pPr>
        <w:spacing w:after="0"/>
        <w:jc w:val="both"/>
        <w:rPr>
          <w:rFonts w:ascii="Times New Roman" w:hAnsi="Times New Roman" w:cs="Times New Roman"/>
          <w:b/>
          <w:sz w:val="24"/>
          <w:szCs w:val="24"/>
        </w:rPr>
      </w:pPr>
      <w:r w:rsidRPr="00C67AF0">
        <w:rPr>
          <w:rFonts w:ascii="Times New Roman" w:hAnsi="Times New Roman" w:cs="Times New Roman"/>
          <w:b/>
          <w:sz w:val="24"/>
          <w:szCs w:val="24"/>
        </w:rPr>
        <w:t>Reference</w:t>
      </w:r>
      <w:r w:rsidR="00A46FE5">
        <w:rPr>
          <w:rFonts w:ascii="Times New Roman" w:hAnsi="Times New Roman" w:cs="Times New Roman"/>
          <w:b/>
          <w:sz w:val="24"/>
          <w:szCs w:val="24"/>
        </w:rPr>
        <w:t>s</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0F52BE">
        <w:rPr>
          <w:rFonts w:ascii="Times New Roman" w:hAnsi="Times New Roman" w:cs="Times New Roman"/>
          <w:noProof/>
          <w:sz w:val="24"/>
          <w:szCs w:val="24"/>
        </w:rPr>
        <w:t xml:space="preserve">Bindraban, N. R., Van Valkengoed, I. G. M., Mairuhu, G., Holleman, F., Hoekstra, J. B. L., Michels, B. P. J., Koopmans, R. P., &amp; Stronks, K. (2008). Prevalence of diabetes mellitus and the performance of a risk score among Hindustani Surinamese, African Surinamese and </w:t>
      </w:r>
      <w:r w:rsidRPr="000F52BE">
        <w:rPr>
          <w:rFonts w:ascii="Times New Roman" w:hAnsi="Times New Roman" w:cs="Times New Roman"/>
          <w:noProof/>
          <w:sz w:val="24"/>
          <w:szCs w:val="24"/>
        </w:rPr>
        <w:lastRenderedPageBreak/>
        <w:t xml:space="preserve">ethnic Dutch: A cross-sectional population-based study. </w:t>
      </w:r>
      <w:r w:rsidRPr="000F52BE">
        <w:rPr>
          <w:rFonts w:ascii="Times New Roman" w:hAnsi="Times New Roman" w:cs="Times New Roman"/>
          <w:i/>
          <w:iCs/>
          <w:noProof/>
          <w:sz w:val="24"/>
          <w:szCs w:val="24"/>
        </w:rPr>
        <w:t>BMC Public Health</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8</w:t>
      </w:r>
      <w:r w:rsidRPr="000F52BE">
        <w:rPr>
          <w:rFonts w:ascii="Times New Roman" w:hAnsi="Times New Roman" w:cs="Times New Roman"/>
          <w:noProof/>
          <w:sz w:val="24"/>
          <w:szCs w:val="24"/>
        </w:rPr>
        <w:t>(1), 1–10. https://doi.org/10.1186/1471-2458-8-271</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Brown, J., Wessells, H., Chancellor, M., Howards, S., Stamm, W., Stapleton, A., Steers, W., Van Den Eeden, S., &amp; McVary, K. (2005). Urological complications of diabetes. </w:t>
      </w:r>
      <w:r w:rsidRPr="000F52BE">
        <w:rPr>
          <w:rFonts w:ascii="Times New Roman" w:hAnsi="Times New Roman" w:cs="Times New Roman"/>
          <w:i/>
          <w:iCs/>
          <w:noProof/>
          <w:sz w:val="24"/>
          <w:szCs w:val="24"/>
        </w:rPr>
        <w:t>Diabetes Care</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28</w:t>
      </w:r>
      <w:r w:rsidRPr="000F52BE">
        <w:rPr>
          <w:rFonts w:ascii="Times New Roman" w:hAnsi="Times New Roman" w:cs="Times New Roman"/>
          <w:noProof/>
          <w:sz w:val="24"/>
          <w:szCs w:val="24"/>
        </w:rPr>
        <w:t>(1), 177–185. https://doi.org/10.2337/diacare.28.1.177</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Deshpande, A., Harris-Hayes, M., &amp; Schootman, M. (2008). Epidemiology of Diabetes and Diabetes-Related Complications. </w:t>
      </w:r>
      <w:r w:rsidRPr="000F52BE">
        <w:rPr>
          <w:rFonts w:ascii="Times New Roman" w:hAnsi="Times New Roman" w:cs="Times New Roman"/>
          <w:i/>
          <w:iCs/>
          <w:noProof/>
          <w:sz w:val="24"/>
          <w:szCs w:val="24"/>
        </w:rPr>
        <w:t>Physical Therapy</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88</w:t>
      </w:r>
      <w:r w:rsidRPr="000F52BE">
        <w:rPr>
          <w:rFonts w:ascii="Times New Roman" w:hAnsi="Times New Roman" w:cs="Times New Roman"/>
          <w:noProof/>
          <w:sz w:val="24"/>
          <w:szCs w:val="24"/>
        </w:rPr>
        <w:t>(11), 1254–1264.</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Dolongseda, F., Masi, G., &amp; Bataha, Y. (2017). Hubungan Pola Aktivitas Fisik Dan Pola Makan Dengan Kadar Gula Darah Pada Pasien Diabetes Melitus Tipe Ii Di Poli Penyakit Dalam Rumah Sakit Pancaran Kasih Gmim Manado. </w:t>
      </w:r>
      <w:r w:rsidRPr="000F52BE">
        <w:rPr>
          <w:rFonts w:ascii="Times New Roman" w:hAnsi="Times New Roman" w:cs="Times New Roman"/>
          <w:i/>
          <w:iCs/>
          <w:noProof/>
          <w:sz w:val="24"/>
          <w:szCs w:val="24"/>
        </w:rPr>
        <w:t>Jurnal Keperawatan UNSRAT</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5</w:t>
      </w:r>
      <w:r w:rsidRPr="000F52BE">
        <w:rPr>
          <w:rFonts w:ascii="Times New Roman" w:hAnsi="Times New Roman" w:cs="Times New Roman"/>
          <w:noProof/>
          <w:sz w:val="24"/>
          <w:szCs w:val="24"/>
        </w:rPr>
        <w:t>(1), 1–8.</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Hampp, C., Borders-Hemphill, V., Moeny, D. G., &amp; Wysowski, D. K. (2014). Use of antidiabetic drugs in the U.S., 2003-2012. </w:t>
      </w:r>
      <w:r w:rsidRPr="000F52BE">
        <w:rPr>
          <w:rFonts w:ascii="Times New Roman" w:hAnsi="Times New Roman" w:cs="Times New Roman"/>
          <w:i/>
          <w:iCs/>
          <w:noProof/>
          <w:sz w:val="24"/>
          <w:szCs w:val="24"/>
        </w:rPr>
        <w:t>Diabetes Care</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37</w:t>
      </w:r>
      <w:r w:rsidRPr="000F52BE">
        <w:rPr>
          <w:rFonts w:ascii="Times New Roman" w:hAnsi="Times New Roman" w:cs="Times New Roman"/>
          <w:noProof/>
          <w:sz w:val="24"/>
          <w:szCs w:val="24"/>
        </w:rPr>
        <w:t>(5), 1367–1374. https://doi.org/10.2337/dc13-2289</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Hardayanti, K., Rau, M., &amp; Arifuddin, A. (2018). Pengaruh perilaku pengendalian diabetes melitus terhadap kadar gula darah pasien di Rumah Sakit Umum Anutapura Kota Palu. </w:t>
      </w:r>
      <w:r w:rsidRPr="000F52BE">
        <w:rPr>
          <w:rFonts w:ascii="Times New Roman" w:hAnsi="Times New Roman" w:cs="Times New Roman"/>
          <w:i/>
          <w:iCs/>
          <w:noProof/>
          <w:sz w:val="24"/>
          <w:szCs w:val="24"/>
        </w:rPr>
        <w:t>Jurnal Kesehatan Tadulako</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4</w:t>
      </w:r>
      <w:r w:rsidRPr="000F52BE">
        <w:rPr>
          <w:rFonts w:ascii="Times New Roman" w:hAnsi="Times New Roman" w:cs="Times New Roman"/>
          <w:noProof/>
          <w:sz w:val="24"/>
          <w:szCs w:val="24"/>
        </w:rPr>
        <w:t>(3), 61–66.</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Kurnia, A. D., Amatayakul, A., &amp; Karuncharernpanit, S. (2017). Predictors of diabetes self-management among type 2 diabetics in Indonesia: Application theory of the health promotion model. </w:t>
      </w:r>
      <w:r w:rsidRPr="000F52BE">
        <w:rPr>
          <w:rFonts w:ascii="Times New Roman" w:hAnsi="Times New Roman" w:cs="Times New Roman"/>
          <w:i/>
          <w:iCs/>
          <w:noProof/>
          <w:sz w:val="24"/>
          <w:szCs w:val="24"/>
        </w:rPr>
        <w:t>International Journal of Nursing Sciences</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4</w:t>
      </w:r>
      <w:r w:rsidRPr="000F52BE">
        <w:rPr>
          <w:rFonts w:ascii="Times New Roman" w:hAnsi="Times New Roman" w:cs="Times New Roman"/>
          <w:noProof/>
          <w:sz w:val="24"/>
          <w:szCs w:val="24"/>
        </w:rPr>
        <w:t>(3), 260–265. https://doi.org/10.1016/j.ijnss.2017.06.010</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Maryati, Y., Alifiar, I., Nurfatwa, M., Nofianti, T., &amp; Rahayuningsih, N. (2019). Antlion (</w:t>
      </w:r>
      <w:r w:rsidR="00896B9D">
        <w:rPr>
          <w:rFonts w:ascii="Times New Roman" w:hAnsi="Times New Roman" w:cs="Times New Roman"/>
          <w:noProof/>
          <w:sz w:val="24"/>
          <w:szCs w:val="24"/>
        </w:rPr>
        <w:t>Myrmeleon sp</w:t>
      </w:r>
      <w:r w:rsidRPr="000F52BE">
        <w:rPr>
          <w:rFonts w:ascii="Times New Roman" w:hAnsi="Times New Roman" w:cs="Times New Roman"/>
          <w:noProof/>
          <w:sz w:val="24"/>
          <w:szCs w:val="24"/>
        </w:rPr>
        <w:t xml:space="preserve">sp.) Infusion as Antidiabetic in Dexamethasone Induced Mice. </w:t>
      </w:r>
      <w:r w:rsidRPr="000F52BE">
        <w:rPr>
          <w:rFonts w:ascii="Times New Roman" w:hAnsi="Times New Roman" w:cs="Times New Roman"/>
          <w:i/>
          <w:iCs/>
          <w:noProof/>
          <w:sz w:val="24"/>
          <w:szCs w:val="24"/>
        </w:rPr>
        <w:t>Journal of Physics: Conference Series</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1179</w:t>
      </w:r>
      <w:r w:rsidRPr="000F52BE">
        <w:rPr>
          <w:rFonts w:ascii="Times New Roman" w:hAnsi="Times New Roman" w:cs="Times New Roman"/>
          <w:noProof/>
          <w:sz w:val="24"/>
          <w:szCs w:val="24"/>
        </w:rPr>
        <w:t>(1). https://doi.org/10.1088/1742-6596/1179/1/012177</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Mathers, C. D., Boerma, T., &amp; Ma Fat, D. (2009). Global and regional causes of death. </w:t>
      </w:r>
      <w:r w:rsidRPr="000F52BE">
        <w:rPr>
          <w:rFonts w:ascii="Times New Roman" w:hAnsi="Times New Roman" w:cs="Times New Roman"/>
          <w:i/>
          <w:iCs/>
          <w:noProof/>
          <w:sz w:val="24"/>
          <w:szCs w:val="24"/>
        </w:rPr>
        <w:t>British Medical Bulletin</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92</w:t>
      </w:r>
      <w:r w:rsidRPr="000F52BE">
        <w:rPr>
          <w:rFonts w:ascii="Times New Roman" w:hAnsi="Times New Roman" w:cs="Times New Roman"/>
          <w:noProof/>
          <w:sz w:val="24"/>
          <w:szCs w:val="24"/>
        </w:rPr>
        <w:t>(1), 7–32. https://doi.org/10.1093/bmb/ldp028</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Morgan, B. P., &amp; Harris, C. L. (2015). Complement, a target for therapy in inflammatory and degenerative diseases. </w:t>
      </w:r>
      <w:r w:rsidRPr="000F52BE">
        <w:rPr>
          <w:rFonts w:ascii="Times New Roman" w:hAnsi="Times New Roman" w:cs="Times New Roman"/>
          <w:i/>
          <w:iCs/>
          <w:noProof/>
          <w:sz w:val="24"/>
          <w:szCs w:val="24"/>
        </w:rPr>
        <w:t>Nature Reviews Drug Discovery</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14</w:t>
      </w:r>
      <w:r w:rsidRPr="000F52BE">
        <w:rPr>
          <w:rFonts w:ascii="Times New Roman" w:hAnsi="Times New Roman" w:cs="Times New Roman"/>
          <w:noProof/>
          <w:sz w:val="24"/>
          <w:szCs w:val="24"/>
        </w:rPr>
        <w:t>(12), 857–877. https://doi.org/10.1038/nrd4657</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Motala, A. A. (2002). Diabetes trends in Africa. </w:t>
      </w:r>
      <w:r w:rsidRPr="000F52BE">
        <w:rPr>
          <w:rFonts w:ascii="Times New Roman" w:hAnsi="Times New Roman" w:cs="Times New Roman"/>
          <w:i/>
          <w:iCs/>
          <w:noProof/>
          <w:sz w:val="24"/>
          <w:szCs w:val="24"/>
        </w:rPr>
        <w:t>Diabetes/Metabolism Research and Reviews</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18</w:t>
      </w:r>
      <w:r w:rsidRPr="000F52BE">
        <w:rPr>
          <w:rFonts w:ascii="Times New Roman" w:hAnsi="Times New Roman" w:cs="Times New Roman"/>
          <w:noProof/>
          <w:sz w:val="24"/>
          <w:szCs w:val="24"/>
        </w:rPr>
        <w:t>(3), 14–20. https://doi.org/10.1002/dmrr.284</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Muadifah, A., Sulistyarti, H., &amp; Prasetyawan, S. (2017). Liquid Chromatography for Analysis of Metformin in </w:t>
      </w:r>
      <w:r w:rsidR="00896B9D">
        <w:rPr>
          <w:rFonts w:ascii="Times New Roman" w:hAnsi="Times New Roman" w:cs="Times New Roman"/>
          <w:noProof/>
          <w:sz w:val="24"/>
          <w:szCs w:val="24"/>
        </w:rPr>
        <w:t>Myrmeleon sp</w:t>
      </w:r>
      <w:r w:rsidRPr="000F52BE">
        <w:rPr>
          <w:rFonts w:ascii="Times New Roman" w:hAnsi="Times New Roman" w:cs="Times New Roman"/>
          <w:noProof/>
          <w:sz w:val="24"/>
          <w:szCs w:val="24"/>
        </w:rPr>
        <w:t xml:space="preserve">sp. </w:t>
      </w:r>
      <w:r w:rsidRPr="000F52BE">
        <w:rPr>
          <w:rFonts w:ascii="Times New Roman" w:hAnsi="Times New Roman" w:cs="Times New Roman"/>
          <w:i/>
          <w:iCs/>
          <w:noProof/>
          <w:sz w:val="24"/>
          <w:szCs w:val="24"/>
        </w:rPr>
        <w:t>The Journal of Pure and Applied Chemistry Research</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6</w:t>
      </w:r>
      <w:r w:rsidRPr="000F52BE">
        <w:rPr>
          <w:rFonts w:ascii="Times New Roman" w:hAnsi="Times New Roman" w:cs="Times New Roman"/>
          <w:noProof/>
          <w:sz w:val="24"/>
          <w:szCs w:val="24"/>
        </w:rPr>
        <w:t>(3), 196–206. https://doi.org/10.21776/ub.jpacr.2017.006.03.338</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Mujahid, M. Z., Agistia, D. D., Sa’adah, M., &amp; Nugroho, A. E. (2013). A combination of bitter gourd ethanolic extract with ant lion larvae aqueous extract for a blood glucose-lowering agent. </w:t>
      </w:r>
      <w:r w:rsidRPr="000F52BE">
        <w:rPr>
          <w:rFonts w:ascii="Times New Roman" w:hAnsi="Times New Roman" w:cs="Times New Roman"/>
          <w:i/>
          <w:iCs/>
          <w:noProof/>
          <w:sz w:val="24"/>
          <w:szCs w:val="24"/>
        </w:rPr>
        <w:t>International Food Research Journal</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20</w:t>
      </w:r>
      <w:r w:rsidRPr="000F52BE">
        <w:rPr>
          <w:rFonts w:ascii="Times New Roman" w:hAnsi="Times New Roman" w:cs="Times New Roman"/>
          <w:noProof/>
          <w:sz w:val="24"/>
          <w:szCs w:val="24"/>
        </w:rPr>
        <w:t>(2), 851–855.</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Petznick, A. (2011). Insulin Management of Type 2 Diabetes Mellitus. </w:t>
      </w:r>
      <w:r w:rsidRPr="000F52BE">
        <w:rPr>
          <w:rFonts w:ascii="Times New Roman" w:hAnsi="Times New Roman" w:cs="Times New Roman"/>
          <w:i/>
          <w:iCs/>
          <w:noProof/>
          <w:sz w:val="24"/>
          <w:szCs w:val="24"/>
        </w:rPr>
        <w:t>American Family Physician</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84</w:t>
      </w:r>
      <w:r w:rsidRPr="000F52BE">
        <w:rPr>
          <w:rFonts w:ascii="Times New Roman" w:hAnsi="Times New Roman" w:cs="Times New Roman"/>
          <w:noProof/>
          <w:sz w:val="24"/>
          <w:szCs w:val="24"/>
        </w:rPr>
        <w:t>(2), 183–190.</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Rahma, H. H., Sundhani, E., &amp; Nurulita, N. A. (2016). Antidiabetic activity of powder and ethanolic extract of antlion (</w:t>
      </w:r>
      <w:r w:rsidR="00896B9D">
        <w:rPr>
          <w:rFonts w:ascii="Times New Roman" w:hAnsi="Times New Roman" w:cs="Times New Roman"/>
          <w:noProof/>
          <w:sz w:val="24"/>
          <w:szCs w:val="24"/>
        </w:rPr>
        <w:t>Myrmeleon sp</w:t>
      </w:r>
      <w:r w:rsidRPr="000F52BE">
        <w:rPr>
          <w:rFonts w:ascii="Times New Roman" w:hAnsi="Times New Roman" w:cs="Times New Roman"/>
          <w:noProof/>
          <w:sz w:val="24"/>
          <w:szCs w:val="24"/>
        </w:rPr>
        <w:t xml:space="preserve">sp.) on wistar strain white male rats with glucose preload. </w:t>
      </w:r>
      <w:r w:rsidRPr="000F52BE">
        <w:rPr>
          <w:rFonts w:ascii="Times New Roman" w:hAnsi="Times New Roman" w:cs="Times New Roman"/>
          <w:i/>
          <w:iCs/>
          <w:noProof/>
          <w:sz w:val="24"/>
          <w:szCs w:val="24"/>
        </w:rPr>
        <w:t>Proceeding ICMHS 2016</w:t>
      </w:r>
      <w:r w:rsidRPr="000F52BE">
        <w:rPr>
          <w:rFonts w:ascii="Times New Roman" w:hAnsi="Times New Roman" w:cs="Times New Roman"/>
          <w:noProof/>
          <w:sz w:val="24"/>
          <w:szCs w:val="24"/>
        </w:rPr>
        <w:t>, 14–16.</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Ramachandran, A., Wan Ma, R. C., &amp; Snehalatha, C. (2010). Diabetes in Asia. </w:t>
      </w:r>
      <w:r w:rsidRPr="000F52BE">
        <w:rPr>
          <w:rFonts w:ascii="Times New Roman" w:hAnsi="Times New Roman" w:cs="Times New Roman"/>
          <w:i/>
          <w:iCs/>
          <w:noProof/>
          <w:sz w:val="24"/>
          <w:szCs w:val="24"/>
        </w:rPr>
        <w:t>The Lancet</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375</w:t>
      </w:r>
      <w:r w:rsidRPr="000F52BE">
        <w:rPr>
          <w:rFonts w:ascii="Times New Roman" w:hAnsi="Times New Roman" w:cs="Times New Roman"/>
          <w:noProof/>
          <w:sz w:val="24"/>
          <w:szCs w:val="24"/>
        </w:rPr>
        <w:t>(9712), 408–418. https://doi.org/10.1016/S0140-6736(09)60937-5</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Seto, S. W., Yang, G. Y., Kiat, H., Bensoussan, A., Kwan, Y. W., &amp; Chang, D. (2015). Diabetes mellitus, cognitive impairment, and traditional chinese medicine. </w:t>
      </w:r>
      <w:r w:rsidRPr="000F52BE">
        <w:rPr>
          <w:rFonts w:ascii="Times New Roman" w:hAnsi="Times New Roman" w:cs="Times New Roman"/>
          <w:i/>
          <w:iCs/>
          <w:noProof/>
          <w:sz w:val="24"/>
          <w:szCs w:val="24"/>
        </w:rPr>
        <w:t>International Journal of Endocrinology</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2015</w:t>
      </w:r>
      <w:r w:rsidRPr="000F52BE">
        <w:rPr>
          <w:rFonts w:ascii="Times New Roman" w:hAnsi="Times New Roman" w:cs="Times New Roman"/>
          <w:noProof/>
          <w:sz w:val="24"/>
          <w:szCs w:val="24"/>
        </w:rPr>
        <w:t>, 1–14. https://doi.org/10.1155/2015/810439</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lastRenderedPageBreak/>
        <w:t xml:space="preserve">Susanto, D. H., Kartika, R. W., Heng, P. H., Santoso, A. W., Lopulalan, M. V., &amp; Wijaya, A. (2020). Pengaruh Ekstrak Undur-undur ( </w:t>
      </w:r>
      <w:r w:rsidR="00896B9D">
        <w:rPr>
          <w:rFonts w:ascii="Times New Roman" w:hAnsi="Times New Roman" w:cs="Times New Roman"/>
          <w:noProof/>
          <w:sz w:val="24"/>
          <w:szCs w:val="24"/>
        </w:rPr>
        <w:t>Myrmeleon sp</w:t>
      </w:r>
      <w:r w:rsidRPr="000F52BE">
        <w:rPr>
          <w:rFonts w:ascii="Times New Roman" w:hAnsi="Times New Roman" w:cs="Times New Roman"/>
          <w:noProof/>
          <w:sz w:val="24"/>
          <w:szCs w:val="24"/>
        </w:rPr>
        <w:t xml:space="preserve">sp ) terhadap Glukosa Darah dan Hematokrit pada Tikus Diabetes. </w:t>
      </w:r>
      <w:r w:rsidRPr="000F52BE">
        <w:rPr>
          <w:rFonts w:ascii="Times New Roman" w:hAnsi="Times New Roman" w:cs="Times New Roman"/>
          <w:i/>
          <w:iCs/>
          <w:noProof/>
          <w:sz w:val="24"/>
          <w:szCs w:val="24"/>
        </w:rPr>
        <w:t>Jurnal Ilmiah Kedokteran Wijaya Kusuma</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9</w:t>
      </w:r>
      <w:r w:rsidRPr="000F52BE">
        <w:rPr>
          <w:rFonts w:ascii="Times New Roman" w:hAnsi="Times New Roman" w:cs="Times New Roman"/>
          <w:noProof/>
          <w:sz w:val="24"/>
          <w:szCs w:val="24"/>
        </w:rPr>
        <w:t>(2), 209–217.</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Sutanegara, D., Darmono, &amp; Budhiarta, A. (2000). The epidemiology and management of diabetes mellitus in Indonesia. </w:t>
      </w:r>
      <w:r w:rsidRPr="000F52BE">
        <w:rPr>
          <w:rFonts w:ascii="Times New Roman" w:hAnsi="Times New Roman" w:cs="Times New Roman"/>
          <w:i/>
          <w:iCs/>
          <w:noProof/>
          <w:sz w:val="24"/>
          <w:szCs w:val="24"/>
        </w:rPr>
        <w:t>Diabetes Research and Clinical Practice</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50</w:t>
      </w:r>
      <w:r w:rsidRPr="000F52BE">
        <w:rPr>
          <w:rFonts w:ascii="Times New Roman" w:hAnsi="Times New Roman" w:cs="Times New Roman"/>
          <w:noProof/>
          <w:sz w:val="24"/>
          <w:szCs w:val="24"/>
        </w:rPr>
        <w:t>(2000), 9–16. https://doi.org/10.1016/S0168-8227(00)00173-X</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Verma, M., Paneri, S., Badi, P., &amp; Raman, P. (2006). Effect of increasing duration of diabetes mellitus type 2 on glycated hemoglobin and insulin sensitivity. </w:t>
      </w:r>
      <w:r w:rsidRPr="000F52BE">
        <w:rPr>
          <w:rFonts w:ascii="Times New Roman" w:hAnsi="Times New Roman" w:cs="Times New Roman"/>
          <w:i/>
          <w:iCs/>
          <w:noProof/>
          <w:sz w:val="24"/>
          <w:szCs w:val="24"/>
        </w:rPr>
        <w:t>Indian Journal of Clinical Biochemistry</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21</w:t>
      </w:r>
      <w:r w:rsidRPr="000F52BE">
        <w:rPr>
          <w:rFonts w:ascii="Times New Roman" w:hAnsi="Times New Roman" w:cs="Times New Roman"/>
          <w:noProof/>
          <w:sz w:val="24"/>
          <w:szCs w:val="24"/>
        </w:rPr>
        <w:t>(1), 142–146. https://doi.org/10.1007/BF02913083</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Wild, S., Roglic, G., Green, A., Sicree, R., &amp; King, H. (2004). Global Prevalence of Diabetes: Estimates for the year 2000 and projections for 2030. </w:t>
      </w:r>
      <w:r w:rsidRPr="000F52BE">
        <w:rPr>
          <w:rFonts w:ascii="Times New Roman" w:hAnsi="Times New Roman" w:cs="Times New Roman"/>
          <w:i/>
          <w:iCs/>
          <w:noProof/>
          <w:sz w:val="24"/>
          <w:szCs w:val="24"/>
        </w:rPr>
        <w:t>Diabetes Care</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27</w:t>
      </w:r>
      <w:r w:rsidRPr="000F52BE">
        <w:rPr>
          <w:rFonts w:ascii="Times New Roman" w:hAnsi="Times New Roman" w:cs="Times New Roman"/>
          <w:noProof/>
          <w:sz w:val="24"/>
          <w:szCs w:val="24"/>
        </w:rPr>
        <w:t>(5), 1047–1053. https://doi.org/10.2337/diacare.27.5.1047</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F52BE">
        <w:rPr>
          <w:rFonts w:ascii="Times New Roman" w:hAnsi="Times New Roman" w:cs="Times New Roman"/>
          <w:noProof/>
          <w:sz w:val="24"/>
          <w:szCs w:val="24"/>
        </w:rPr>
        <w:t xml:space="preserve">Yulianti, S., &amp; Rayasari, F. (2016). The Impact of Telenursing Assistance on the Glycemic Levels of Type II DM Clients at Local Healt Clinic Kampung Baru In Banggai 2016. </w:t>
      </w:r>
      <w:r w:rsidRPr="000F52BE">
        <w:rPr>
          <w:rFonts w:ascii="Times New Roman" w:hAnsi="Times New Roman" w:cs="Times New Roman"/>
          <w:i/>
          <w:iCs/>
          <w:noProof/>
          <w:sz w:val="24"/>
          <w:szCs w:val="24"/>
        </w:rPr>
        <w:t>The 2nd International Multidisciplinary Conference</w:t>
      </w:r>
      <w:r w:rsidRPr="000F52BE">
        <w:rPr>
          <w:rFonts w:ascii="Times New Roman" w:hAnsi="Times New Roman" w:cs="Times New Roman"/>
          <w:noProof/>
          <w:sz w:val="24"/>
          <w:szCs w:val="24"/>
        </w:rPr>
        <w:t>, 735–743.</w:t>
      </w:r>
    </w:p>
    <w:p w:rsidR="000F52BE" w:rsidRPr="000F52BE" w:rsidRDefault="000F52BE" w:rsidP="000F52B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F52BE">
        <w:rPr>
          <w:rFonts w:ascii="Times New Roman" w:hAnsi="Times New Roman" w:cs="Times New Roman"/>
          <w:noProof/>
          <w:sz w:val="24"/>
          <w:szCs w:val="24"/>
        </w:rPr>
        <w:t xml:space="preserve">Zeyfang, A., Berndt, S., Aurnhammer, G., Nikolaus, T., Oster, P., &amp; Bahrmann, A. (2012). A short easy test can detect ability for autonomous insulin injection by the elderly with diabetes mellitus. </w:t>
      </w:r>
      <w:r w:rsidRPr="000F52BE">
        <w:rPr>
          <w:rFonts w:ascii="Times New Roman" w:hAnsi="Times New Roman" w:cs="Times New Roman"/>
          <w:i/>
          <w:iCs/>
          <w:noProof/>
          <w:sz w:val="24"/>
          <w:szCs w:val="24"/>
        </w:rPr>
        <w:t>Journal of the American Medical Directors Association</w:t>
      </w:r>
      <w:r w:rsidRPr="000F52BE">
        <w:rPr>
          <w:rFonts w:ascii="Times New Roman" w:hAnsi="Times New Roman" w:cs="Times New Roman"/>
          <w:noProof/>
          <w:sz w:val="24"/>
          <w:szCs w:val="24"/>
        </w:rPr>
        <w:t xml:space="preserve">, </w:t>
      </w:r>
      <w:r w:rsidRPr="000F52BE">
        <w:rPr>
          <w:rFonts w:ascii="Times New Roman" w:hAnsi="Times New Roman" w:cs="Times New Roman"/>
          <w:i/>
          <w:iCs/>
          <w:noProof/>
          <w:sz w:val="24"/>
          <w:szCs w:val="24"/>
        </w:rPr>
        <w:t>13</w:t>
      </w:r>
      <w:r w:rsidRPr="000F52BE">
        <w:rPr>
          <w:rFonts w:ascii="Times New Roman" w:hAnsi="Times New Roman" w:cs="Times New Roman"/>
          <w:noProof/>
          <w:sz w:val="24"/>
          <w:szCs w:val="24"/>
        </w:rPr>
        <w:t>(1), 15–18. https://doi.org/10.1016/j.jamda.2010.10.006</w:t>
      </w:r>
    </w:p>
    <w:p w:rsidR="00A46FE5" w:rsidRPr="00C67AF0" w:rsidRDefault="000F52BE" w:rsidP="000F52BE">
      <w:pPr>
        <w:spacing w:after="0"/>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46FE5" w:rsidRPr="00C67AF0" w:rsidSect="00180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EA" w:rsidRDefault="00230AEA" w:rsidP="002304AB">
      <w:pPr>
        <w:spacing w:after="0" w:line="240" w:lineRule="auto"/>
      </w:pPr>
      <w:r>
        <w:separator/>
      </w:r>
    </w:p>
  </w:endnote>
  <w:endnote w:type="continuationSeparator" w:id="0">
    <w:p w:rsidR="00230AEA" w:rsidRDefault="00230AEA" w:rsidP="0023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EA" w:rsidRDefault="00230AEA" w:rsidP="002304AB">
      <w:pPr>
        <w:spacing w:after="0" w:line="240" w:lineRule="auto"/>
      </w:pPr>
      <w:r>
        <w:separator/>
      </w:r>
    </w:p>
  </w:footnote>
  <w:footnote w:type="continuationSeparator" w:id="0">
    <w:p w:rsidR="00230AEA" w:rsidRDefault="00230AEA" w:rsidP="00230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5B74"/>
    <w:multiLevelType w:val="multilevel"/>
    <w:tmpl w:val="83BC596C"/>
    <w:lvl w:ilvl="0">
      <w:start w:val="46"/>
      <w:numFmt w:val="decimal"/>
      <w:lvlText w:val="%1"/>
      <w:lvlJc w:val="left"/>
      <w:pPr>
        <w:ind w:left="555" w:hanging="555"/>
      </w:pPr>
      <w:rPr>
        <w:rFonts w:hint="default"/>
      </w:rPr>
    </w:lvl>
    <w:lvl w:ilvl="1">
      <w:start w:val="5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215F"/>
    <w:rsid w:val="00000D40"/>
    <w:rsid w:val="00034D8B"/>
    <w:rsid w:val="00045065"/>
    <w:rsid w:val="0005024F"/>
    <w:rsid w:val="00057772"/>
    <w:rsid w:val="000D0B5C"/>
    <w:rsid w:val="000F52BE"/>
    <w:rsid w:val="00114429"/>
    <w:rsid w:val="00122AAB"/>
    <w:rsid w:val="001357D0"/>
    <w:rsid w:val="001809D3"/>
    <w:rsid w:val="001B22E4"/>
    <w:rsid w:val="002304AB"/>
    <w:rsid w:val="00230AEA"/>
    <w:rsid w:val="00273E7B"/>
    <w:rsid w:val="002D3478"/>
    <w:rsid w:val="00342834"/>
    <w:rsid w:val="00353E29"/>
    <w:rsid w:val="00354DDE"/>
    <w:rsid w:val="003D6A37"/>
    <w:rsid w:val="003F3A07"/>
    <w:rsid w:val="00471C3C"/>
    <w:rsid w:val="00487338"/>
    <w:rsid w:val="004C0E3C"/>
    <w:rsid w:val="004C5DE8"/>
    <w:rsid w:val="004D4517"/>
    <w:rsid w:val="00544C35"/>
    <w:rsid w:val="0057654C"/>
    <w:rsid w:val="005C36A1"/>
    <w:rsid w:val="0060182C"/>
    <w:rsid w:val="00601D95"/>
    <w:rsid w:val="00610084"/>
    <w:rsid w:val="0062205D"/>
    <w:rsid w:val="00661C44"/>
    <w:rsid w:val="00664E69"/>
    <w:rsid w:val="006B215F"/>
    <w:rsid w:val="006D1617"/>
    <w:rsid w:val="00767D88"/>
    <w:rsid w:val="00795156"/>
    <w:rsid w:val="00796B81"/>
    <w:rsid w:val="007F596A"/>
    <w:rsid w:val="007F6803"/>
    <w:rsid w:val="00824007"/>
    <w:rsid w:val="00896B9D"/>
    <w:rsid w:val="008A04C7"/>
    <w:rsid w:val="008C05EA"/>
    <w:rsid w:val="00923A0A"/>
    <w:rsid w:val="009A25D3"/>
    <w:rsid w:val="009B26E3"/>
    <w:rsid w:val="009F15A5"/>
    <w:rsid w:val="009F483D"/>
    <w:rsid w:val="00A46FE5"/>
    <w:rsid w:val="00A53F74"/>
    <w:rsid w:val="00AA6F98"/>
    <w:rsid w:val="00AD3F9A"/>
    <w:rsid w:val="00B20D1B"/>
    <w:rsid w:val="00B231C8"/>
    <w:rsid w:val="00B64103"/>
    <w:rsid w:val="00BD582A"/>
    <w:rsid w:val="00BE1A92"/>
    <w:rsid w:val="00C12895"/>
    <w:rsid w:val="00C61BB2"/>
    <w:rsid w:val="00C67AF0"/>
    <w:rsid w:val="00CF3979"/>
    <w:rsid w:val="00D00B22"/>
    <w:rsid w:val="00DA6217"/>
    <w:rsid w:val="00DB0249"/>
    <w:rsid w:val="00E00899"/>
    <w:rsid w:val="00E270FA"/>
    <w:rsid w:val="00E43054"/>
    <w:rsid w:val="00E73989"/>
    <w:rsid w:val="00EE256D"/>
    <w:rsid w:val="00EE3A52"/>
    <w:rsid w:val="00EF44FC"/>
    <w:rsid w:val="00F07D94"/>
    <w:rsid w:val="00F11954"/>
    <w:rsid w:val="00F73A82"/>
    <w:rsid w:val="00F8635C"/>
    <w:rsid w:val="00FF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9442D-BA11-4111-A08A-774E4B09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03"/>
    <w:pPr>
      <w:spacing w:after="0" w:line="240" w:lineRule="auto"/>
      <w:ind w:left="720"/>
    </w:pPr>
    <w:rPr>
      <w:rFonts w:ascii="Calibri" w:eastAsia="Calibri" w:hAnsi="Calibri" w:cs="Arial"/>
      <w:sz w:val="20"/>
      <w:szCs w:val="20"/>
      <w:lang w:val="en-GB" w:eastAsia="en-GB"/>
    </w:rPr>
  </w:style>
  <w:style w:type="paragraph" w:styleId="HTMLPreformatted">
    <w:name w:val="HTML Preformatted"/>
    <w:basedOn w:val="Normal"/>
    <w:link w:val="HTMLPreformattedChar"/>
    <w:uiPriority w:val="99"/>
    <w:unhideWhenUsed/>
    <w:rsid w:val="00B6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4103"/>
    <w:rPr>
      <w:rFonts w:ascii="Courier New" w:eastAsia="Times New Roman" w:hAnsi="Courier New" w:cs="Courier New"/>
      <w:sz w:val="20"/>
      <w:szCs w:val="20"/>
    </w:rPr>
  </w:style>
  <w:style w:type="paragraph" w:styleId="Header">
    <w:name w:val="header"/>
    <w:basedOn w:val="Normal"/>
    <w:link w:val="HeaderChar"/>
    <w:uiPriority w:val="99"/>
    <w:unhideWhenUsed/>
    <w:rsid w:val="0023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AB"/>
  </w:style>
  <w:style w:type="paragraph" w:styleId="Footer">
    <w:name w:val="footer"/>
    <w:basedOn w:val="Normal"/>
    <w:link w:val="FooterChar"/>
    <w:uiPriority w:val="99"/>
    <w:unhideWhenUsed/>
    <w:rsid w:val="0023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AB"/>
  </w:style>
  <w:style w:type="character" w:styleId="Hyperlink">
    <w:name w:val="Hyperlink"/>
    <w:basedOn w:val="DefaultParagraphFont"/>
    <w:uiPriority w:val="99"/>
    <w:unhideWhenUsed/>
    <w:rsid w:val="00230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470">
      <w:bodyDiv w:val="1"/>
      <w:marLeft w:val="0"/>
      <w:marRight w:val="0"/>
      <w:marTop w:val="0"/>
      <w:marBottom w:val="0"/>
      <w:divBdr>
        <w:top w:val="none" w:sz="0" w:space="0" w:color="auto"/>
        <w:left w:val="none" w:sz="0" w:space="0" w:color="auto"/>
        <w:bottom w:val="none" w:sz="0" w:space="0" w:color="auto"/>
        <w:right w:val="none" w:sz="0" w:space="0" w:color="auto"/>
      </w:divBdr>
    </w:div>
    <w:div w:id="502860624">
      <w:bodyDiv w:val="1"/>
      <w:marLeft w:val="0"/>
      <w:marRight w:val="0"/>
      <w:marTop w:val="0"/>
      <w:marBottom w:val="0"/>
      <w:divBdr>
        <w:top w:val="none" w:sz="0" w:space="0" w:color="auto"/>
        <w:left w:val="none" w:sz="0" w:space="0" w:color="auto"/>
        <w:bottom w:val="none" w:sz="0" w:space="0" w:color="auto"/>
        <w:right w:val="none" w:sz="0" w:space="0" w:color="auto"/>
      </w:divBdr>
    </w:div>
    <w:div w:id="563293580">
      <w:bodyDiv w:val="1"/>
      <w:marLeft w:val="0"/>
      <w:marRight w:val="0"/>
      <w:marTop w:val="0"/>
      <w:marBottom w:val="0"/>
      <w:divBdr>
        <w:top w:val="none" w:sz="0" w:space="0" w:color="auto"/>
        <w:left w:val="none" w:sz="0" w:space="0" w:color="auto"/>
        <w:bottom w:val="none" w:sz="0" w:space="0" w:color="auto"/>
        <w:right w:val="none" w:sz="0" w:space="0" w:color="auto"/>
      </w:divBdr>
    </w:div>
    <w:div w:id="588461546">
      <w:bodyDiv w:val="1"/>
      <w:marLeft w:val="0"/>
      <w:marRight w:val="0"/>
      <w:marTop w:val="0"/>
      <w:marBottom w:val="0"/>
      <w:divBdr>
        <w:top w:val="none" w:sz="0" w:space="0" w:color="auto"/>
        <w:left w:val="none" w:sz="0" w:space="0" w:color="auto"/>
        <w:bottom w:val="none" w:sz="0" w:space="0" w:color="auto"/>
        <w:right w:val="none" w:sz="0" w:space="0" w:color="auto"/>
      </w:divBdr>
    </w:div>
    <w:div w:id="743990564">
      <w:bodyDiv w:val="1"/>
      <w:marLeft w:val="0"/>
      <w:marRight w:val="0"/>
      <w:marTop w:val="0"/>
      <w:marBottom w:val="0"/>
      <w:divBdr>
        <w:top w:val="none" w:sz="0" w:space="0" w:color="auto"/>
        <w:left w:val="none" w:sz="0" w:space="0" w:color="auto"/>
        <w:bottom w:val="none" w:sz="0" w:space="0" w:color="auto"/>
        <w:right w:val="none" w:sz="0" w:space="0" w:color="auto"/>
      </w:divBdr>
    </w:div>
    <w:div w:id="820080913">
      <w:bodyDiv w:val="1"/>
      <w:marLeft w:val="0"/>
      <w:marRight w:val="0"/>
      <w:marTop w:val="0"/>
      <w:marBottom w:val="0"/>
      <w:divBdr>
        <w:top w:val="none" w:sz="0" w:space="0" w:color="auto"/>
        <w:left w:val="none" w:sz="0" w:space="0" w:color="auto"/>
        <w:bottom w:val="none" w:sz="0" w:space="0" w:color="auto"/>
        <w:right w:val="none" w:sz="0" w:space="0" w:color="auto"/>
      </w:divBdr>
    </w:div>
    <w:div w:id="1099177950">
      <w:bodyDiv w:val="1"/>
      <w:marLeft w:val="0"/>
      <w:marRight w:val="0"/>
      <w:marTop w:val="0"/>
      <w:marBottom w:val="0"/>
      <w:divBdr>
        <w:top w:val="none" w:sz="0" w:space="0" w:color="auto"/>
        <w:left w:val="none" w:sz="0" w:space="0" w:color="auto"/>
        <w:bottom w:val="none" w:sz="0" w:space="0" w:color="auto"/>
        <w:right w:val="none" w:sz="0" w:space="0" w:color="auto"/>
      </w:divBdr>
    </w:div>
    <w:div w:id="1139767799">
      <w:bodyDiv w:val="1"/>
      <w:marLeft w:val="0"/>
      <w:marRight w:val="0"/>
      <w:marTop w:val="0"/>
      <w:marBottom w:val="0"/>
      <w:divBdr>
        <w:top w:val="none" w:sz="0" w:space="0" w:color="auto"/>
        <w:left w:val="none" w:sz="0" w:space="0" w:color="auto"/>
        <w:bottom w:val="none" w:sz="0" w:space="0" w:color="auto"/>
        <w:right w:val="none" w:sz="0" w:space="0" w:color="auto"/>
      </w:divBdr>
    </w:div>
    <w:div w:id="1219131228">
      <w:bodyDiv w:val="1"/>
      <w:marLeft w:val="0"/>
      <w:marRight w:val="0"/>
      <w:marTop w:val="0"/>
      <w:marBottom w:val="0"/>
      <w:divBdr>
        <w:top w:val="none" w:sz="0" w:space="0" w:color="auto"/>
        <w:left w:val="none" w:sz="0" w:space="0" w:color="auto"/>
        <w:bottom w:val="none" w:sz="0" w:space="0" w:color="auto"/>
        <w:right w:val="none" w:sz="0" w:space="0" w:color="auto"/>
      </w:divBdr>
    </w:div>
    <w:div w:id="1747603751">
      <w:bodyDiv w:val="1"/>
      <w:marLeft w:val="0"/>
      <w:marRight w:val="0"/>
      <w:marTop w:val="0"/>
      <w:marBottom w:val="0"/>
      <w:divBdr>
        <w:top w:val="none" w:sz="0" w:space="0" w:color="auto"/>
        <w:left w:val="none" w:sz="0" w:space="0" w:color="auto"/>
        <w:bottom w:val="none" w:sz="0" w:space="0" w:color="auto"/>
        <w:right w:val="none" w:sz="0" w:space="0" w:color="auto"/>
      </w:divBdr>
    </w:div>
    <w:div w:id="19765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gkomirh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1096B2-F300-483D-B49F-15BDCB87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10004</Words>
  <Characters>57029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Windows User</cp:lastModifiedBy>
  <cp:revision>23</cp:revision>
  <dcterms:created xsi:type="dcterms:W3CDTF">2020-10-18T12:04:00Z</dcterms:created>
  <dcterms:modified xsi:type="dcterms:W3CDTF">2020-10-27T12:12:00Z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7e411330-18b4-3190-b098-f0a68ef0ff64</vt:lpwstr>
  </property>
  <property fmtid="{D5CDD505-2E9C-101B-9397-08002B2CF9AE}" pid="24" name="Mendeley Citation Style_1">
    <vt:lpwstr>http://www.zotero.org/styles/apa</vt:lpwstr>
  </property>
</Properties>
</file>